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2E70F" w14:textId="5448ABF2" w:rsidR="007F3553" w:rsidRPr="00443298" w:rsidRDefault="007F3553" w:rsidP="007F3553">
      <w:pPr>
        <w:pStyle w:val="Header"/>
        <w:jc w:val="right"/>
        <w:rPr>
          <w:rFonts w:ascii="Calibri" w:eastAsia="Malgun Gothic" w:hAnsi="Calibri"/>
        </w:rPr>
      </w:pPr>
      <w:r w:rsidRPr="00443298">
        <w:rPr>
          <w:rFonts w:ascii="Calibri" w:eastAsia="Malgun Gothic" w:hAnsi="Calibri"/>
        </w:rPr>
        <w:t xml:space="preserve">Input paper: </w:t>
      </w:r>
      <w:r w:rsidRPr="00443298">
        <w:rPr>
          <w:rStyle w:val="FootnoteReference"/>
          <w:rFonts w:ascii="Calibri" w:eastAsia="Malgun Gothic" w:hAnsi="Calibri"/>
          <w:sz w:val="22"/>
          <w:vertAlign w:val="superscript"/>
        </w:rPr>
        <w:footnoteReference w:id="1"/>
      </w:r>
      <w:r w:rsidRPr="00443298">
        <w:rPr>
          <w:rFonts w:ascii="Calibri" w:eastAsia="Malgun Gothic" w:hAnsi="Calibri"/>
        </w:rPr>
        <w:t xml:space="preserve">  ENAV</w:t>
      </w:r>
      <w:r w:rsidR="00443298">
        <w:rPr>
          <w:rFonts w:ascii="Calibri" w:eastAsia="Malgun Gothic" w:hAnsi="Calibri"/>
        </w:rPr>
        <w:t>20</w:t>
      </w:r>
      <w:r w:rsidRPr="00443298">
        <w:rPr>
          <w:rFonts w:ascii="Calibri" w:eastAsia="Malgun Gothic" w:hAnsi="Calibri"/>
        </w:rPr>
        <w:t>-</w:t>
      </w:r>
      <w:r w:rsidR="00443298">
        <w:rPr>
          <w:rFonts w:ascii="Calibri" w:eastAsia="Malgun Gothic" w:hAnsi="Calibri"/>
        </w:rPr>
        <w:t>11</w:t>
      </w:r>
      <w:r w:rsidR="00335F94" w:rsidRPr="00443298">
        <w:rPr>
          <w:rFonts w:ascii="Calibri" w:eastAsia="Malgun Gothic" w:hAnsi="Calibri"/>
        </w:rPr>
        <w:t>.</w:t>
      </w:r>
      <w:r w:rsidR="008231A7">
        <w:rPr>
          <w:rFonts w:ascii="Calibri" w:eastAsia="Malgun Gothic" w:hAnsi="Calibri"/>
        </w:rPr>
        <w:t>19</w:t>
      </w:r>
      <w:bookmarkStart w:id="0" w:name="_GoBack"/>
      <w:bookmarkEnd w:id="0"/>
    </w:p>
    <w:p w14:paraId="489721CF" w14:textId="77777777" w:rsidR="007F3553" w:rsidRPr="00443298" w:rsidRDefault="007F3553" w:rsidP="007F3553">
      <w:pPr>
        <w:pStyle w:val="BodyText"/>
        <w:rPr>
          <w:rFonts w:eastAsia="Malgun Gothic"/>
        </w:rPr>
      </w:pPr>
    </w:p>
    <w:p w14:paraId="68F8E9AC" w14:textId="77777777" w:rsidR="007F3553" w:rsidRPr="00443298" w:rsidRDefault="007F3553" w:rsidP="007F3553">
      <w:pPr>
        <w:pStyle w:val="BodyText"/>
        <w:rPr>
          <w:rFonts w:eastAsia="Malgun Gothic"/>
        </w:rPr>
      </w:pPr>
    </w:p>
    <w:p w14:paraId="302965C5" w14:textId="77777777" w:rsidR="007F3553" w:rsidRPr="00443298" w:rsidRDefault="007F3553" w:rsidP="007F3553">
      <w:pPr>
        <w:pStyle w:val="BodyText"/>
        <w:rPr>
          <w:rFonts w:eastAsia="Malgun Gothic"/>
        </w:rPr>
      </w:pPr>
      <w:r w:rsidRPr="00443298">
        <w:rPr>
          <w:rFonts w:eastAsia="Malgun Gothic"/>
        </w:rPr>
        <w:t xml:space="preserve">Input paper for the following Committee(s): </w:t>
      </w:r>
      <w:r w:rsidRPr="00443298">
        <w:rPr>
          <w:rFonts w:eastAsia="Malgun Gothic"/>
        </w:rPr>
        <w:tab/>
      </w:r>
      <w:r w:rsidRPr="00443298">
        <w:rPr>
          <w:rFonts w:eastAsia="Malgun Gothic"/>
          <w:sz w:val="18"/>
          <w:szCs w:val="18"/>
        </w:rPr>
        <w:t>check as appropriate</w:t>
      </w:r>
      <w:r w:rsidRPr="00443298">
        <w:rPr>
          <w:rFonts w:eastAsia="Malgun Gothic"/>
          <w:sz w:val="18"/>
          <w:szCs w:val="18"/>
        </w:rPr>
        <w:tab/>
      </w:r>
      <w:r w:rsidRPr="00443298">
        <w:rPr>
          <w:rFonts w:eastAsia="Malgun Gothic"/>
        </w:rPr>
        <w:tab/>
        <w:t>Purpose of paper:</w:t>
      </w:r>
    </w:p>
    <w:p w14:paraId="3F31FAD4" w14:textId="741A4CB2" w:rsidR="007F3553" w:rsidRPr="00443298" w:rsidRDefault="007F3553" w:rsidP="007F3553">
      <w:pPr>
        <w:pStyle w:val="BodyText"/>
        <w:rPr>
          <w:rFonts w:eastAsia="Malgun Gothic"/>
          <w:b/>
        </w:rPr>
      </w:pPr>
      <w:proofErr w:type="gramStart"/>
      <w:r w:rsidRPr="00443298">
        <w:rPr>
          <w:rFonts w:eastAsia="Malgun Gothic"/>
          <w:b/>
        </w:rPr>
        <w:t>□</w:t>
      </w:r>
      <w:r w:rsidRPr="00443298">
        <w:rPr>
          <w:rFonts w:eastAsia="Malgun Gothic"/>
        </w:rPr>
        <w:t xml:space="preserve">  ARM</w:t>
      </w:r>
      <w:proofErr w:type="gramEnd"/>
      <w:r w:rsidRPr="00443298">
        <w:rPr>
          <w:rFonts w:eastAsia="Malgun Gothic"/>
        </w:rPr>
        <w:tab/>
      </w:r>
      <w:r w:rsidRPr="00443298">
        <w:rPr>
          <w:rFonts w:eastAsia="Malgun Gothic"/>
        </w:rPr>
        <w:tab/>
      </w:r>
      <w:r w:rsidRPr="00443298">
        <w:rPr>
          <w:rFonts w:eastAsia="Malgun Gothic"/>
          <w:b/>
        </w:rPr>
        <w:t>□</w:t>
      </w:r>
      <w:r w:rsidRPr="00443298">
        <w:rPr>
          <w:rFonts w:eastAsia="Malgun Gothic"/>
        </w:rPr>
        <w:t xml:space="preserve">  ENG</w:t>
      </w:r>
      <w:r w:rsidRPr="00443298">
        <w:rPr>
          <w:rFonts w:eastAsia="Malgun Gothic"/>
        </w:rPr>
        <w:tab/>
      </w:r>
      <w:r w:rsidRPr="00443298">
        <w:rPr>
          <w:rFonts w:eastAsia="Malgun Gothic"/>
        </w:rPr>
        <w:tab/>
      </w:r>
      <w:r w:rsidRPr="00443298">
        <w:rPr>
          <w:rFonts w:eastAsia="Malgun Gothic"/>
          <w:b/>
        </w:rPr>
        <w:t>□</w:t>
      </w:r>
      <w:r w:rsidRPr="00443298">
        <w:rPr>
          <w:rFonts w:eastAsia="Malgun Gothic"/>
        </w:rPr>
        <w:t xml:space="preserve">  PAP</w:t>
      </w:r>
      <w:r w:rsidRPr="00443298">
        <w:rPr>
          <w:rFonts w:eastAsia="Malgun Gothic"/>
        </w:rPr>
        <w:tab/>
      </w:r>
      <w:r w:rsidRPr="00443298">
        <w:rPr>
          <w:rFonts w:eastAsia="Malgun Gothic"/>
        </w:rPr>
        <w:tab/>
      </w:r>
      <w:r w:rsidR="00443298">
        <w:rPr>
          <w:rFonts w:eastAsia="Malgun Gothic"/>
        </w:rPr>
        <w:t xml:space="preserve">                               </w:t>
      </w:r>
      <w:r w:rsidRPr="00443298">
        <w:rPr>
          <w:rFonts w:eastAsia="Malgun Gothic"/>
        </w:rPr>
        <w:tab/>
      </w:r>
      <w:r w:rsidRPr="00443298">
        <w:rPr>
          <w:rFonts w:eastAsia="Malgun Gothic"/>
        </w:rPr>
        <w:tab/>
      </w:r>
      <w:r w:rsidR="00D22BEC" w:rsidRPr="00443298">
        <w:rPr>
          <w:rFonts w:eastAsia="Malgun Gothic"/>
          <w:b/>
        </w:rPr>
        <w:t>□</w:t>
      </w:r>
      <w:r w:rsidRPr="00443298">
        <w:rPr>
          <w:rFonts w:eastAsia="Malgun Gothic"/>
        </w:rPr>
        <w:t xml:space="preserve">  Input</w:t>
      </w:r>
    </w:p>
    <w:p w14:paraId="7B705CB2" w14:textId="2FFD2F3E" w:rsidR="007F3553" w:rsidRPr="00443298" w:rsidRDefault="00D22BEC" w:rsidP="007F3553">
      <w:pPr>
        <w:pStyle w:val="BodyText"/>
        <w:rPr>
          <w:rFonts w:eastAsia="Malgun Gothic"/>
        </w:rPr>
      </w:pPr>
      <w:proofErr w:type="gramStart"/>
      <w:r w:rsidRPr="00443298">
        <w:rPr>
          <w:b/>
        </w:rPr>
        <w:t>x</w:t>
      </w:r>
      <w:r w:rsidR="007F3553" w:rsidRPr="00443298">
        <w:rPr>
          <w:rFonts w:eastAsia="Malgun Gothic"/>
        </w:rPr>
        <w:t xml:space="preserve"> </w:t>
      </w:r>
      <w:r w:rsidRPr="00443298">
        <w:rPr>
          <w:rFonts w:eastAsia="Malgun Gothic"/>
        </w:rPr>
        <w:t xml:space="preserve"> </w:t>
      </w:r>
      <w:r w:rsidR="007F3553" w:rsidRPr="00443298">
        <w:rPr>
          <w:rFonts w:eastAsia="Malgun Gothic"/>
        </w:rPr>
        <w:t>ENAV</w:t>
      </w:r>
      <w:proofErr w:type="gramEnd"/>
      <w:r w:rsidR="007F3553" w:rsidRPr="00443298">
        <w:rPr>
          <w:rFonts w:eastAsia="Malgun Gothic"/>
        </w:rPr>
        <w:tab/>
      </w:r>
      <w:r w:rsidR="007F3553" w:rsidRPr="00443298">
        <w:rPr>
          <w:rFonts w:eastAsia="Malgun Gothic"/>
          <w:b/>
        </w:rPr>
        <w:tab/>
        <w:t>□</w:t>
      </w:r>
      <w:r w:rsidR="007F3553" w:rsidRPr="00443298">
        <w:rPr>
          <w:rFonts w:eastAsia="Malgun Gothic"/>
        </w:rPr>
        <w:t xml:space="preserve">  VTS</w:t>
      </w:r>
      <w:r w:rsidR="007F3553" w:rsidRPr="00443298">
        <w:rPr>
          <w:rFonts w:eastAsia="Malgun Gothic"/>
        </w:rPr>
        <w:tab/>
      </w:r>
      <w:r w:rsidR="007F3553" w:rsidRPr="00443298">
        <w:rPr>
          <w:rFonts w:eastAsia="Malgun Gothic"/>
        </w:rPr>
        <w:tab/>
      </w:r>
      <w:r w:rsidR="007F3553" w:rsidRPr="00443298">
        <w:rPr>
          <w:rFonts w:eastAsia="Malgun Gothic"/>
        </w:rPr>
        <w:tab/>
      </w:r>
      <w:r w:rsidR="007F3553" w:rsidRPr="00443298">
        <w:rPr>
          <w:rFonts w:eastAsia="Malgun Gothic"/>
        </w:rPr>
        <w:tab/>
      </w:r>
      <w:r w:rsidR="007F3553" w:rsidRPr="00443298">
        <w:rPr>
          <w:rFonts w:eastAsia="Malgun Gothic"/>
        </w:rPr>
        <w:tab/>
      </w:r>
      <w:r w:rsidR="00443298">
        <w:rPr>
          <w:rFonts w:eastAsia="Malgun Gothic"/>
        </w:rPr>
        <w:t xml:space="preserve">                </w:t>
      </w:r>
      <w:r w:rsidR="007F3553" w:rsidRPr="00443298">
        <w:rPr>
          <w:rFonts w:eastAsia="Malgun Gothic"/>
        </w:rPr>
        <w:tab/>
      </w:r>
      <w:r w:rsidR="007F3553" w:rsidRPr="00443298">
        <w:rPr>
          <w:rFonts w:eastAsia="Malgun Gothic"/>
        </w:rPr>
        <w:tab/>
      </w:r>
      <w:r w:rsidRPr="00443298">
        <w:rPr>
          <w:b/>
        </w:rPr>
        <w:t>x</w:t>
      </w:r>
      <w:r w:rsidRPr="00443298">
        <w:rPr>
          <w:rFonts w:eastAsia="Malgun Gothic"/>
        </w:rPr>
        <w:t xml:space="preserve">  </w:t>
      </w:r>
      <w:r w:rsidR="007F3553" w:rsidRPr="00443298">
        <w:rPr>
          <w:rFonts w:eastAsia="Malgun Gothic"/>
        </w:rPr>
        <w:t>Information</w:t>
      </w:r>
    </w:p>
    <w:p w14:paraId="20A11605" w14:textId="77777777" w:rsidR="007F3553" w:rsidRPr="00443298" w:rsidRDefault="007F3553" w:rsidP="007F3553">
      <w:pPr>
        <w:pStyle w:val="BodyText"/>
        <w:rPr>
          <w:rFonts w:eastAsia="Malgun Gothic"/>
        </w:rPr>
      </w:pPr>
    </w:p>
    <w:p w14:paraId="5ED6934F" w14:textId="286477C2" w:rsidR="007F3553" w:rsidRPr="00443298" w:rsidRDefault="007F3553" w:rsidP="007F3553">
      <w:pPr>
        <w:pStyle w:val="BodyText"/>
        <w:rPr>
          <w:rFonts w:eastAsia="Malgun Gothic"/>
          <w:lang w:eastAsia="ko-KR"/>
        </w:rPr>
      </w:pPr>
      <w:r w:rsidRPr="00443298">
        <w:rPr>
          <w:rFonts w:eastAsia="Malgun Gothic"/>
        </w:rPr>
        <w:t xml:space="preserve">Agenda item </w:t>
      </w:r>
      <w:r w:rsidRPr="00443298">
        <w:rPr>
          <w:rStyle w:val="FootnoteReference"/>
          <w:rFonts w:ascii="Calibri" w:eastAsia="Malgun Gothic" w:hAnsi="Calibri"/>
          <w:sz w:val="22"/>
          <w:vertAlign w:val="superscript"/>
        </w:rPr>
        <w:footnoteReference w:id="2"/>
      </w:r>
      <w:r w:rsidRPr="00443298">
        <w:rPr>
          <w:rFonts w:eastAsia="Malgun Gothic"/>
        </w:rPr>
        <w:tab/>
      </w:r>
      <w:r w:rsidRPr="00443298">
        <w:rPr>
          <w:rFonts w:eastAsia="Malgun Gothic"/>
        </w:rPr>
        <w:tab/>
      </w:r>
      <w:r w:rsidRPr="00443298">
        <w:rPr>
          <w:rFonts w:eastAsia="Malgun Gothic"/>
        </w:rPr>
        <w:tab/>
      </w:r>
      <w:r w:rsidRPr="00443298">
        <w:rPr>
          <w:rFonts w:eastAsia="Malgun Gothic"/>
        </w:rPr>
        <w:tab/>
      </w:r>
      <w:r w:rsidR="00443298" w:rsidRPr="00443298">
        <w:rPr>
          <w:rFonts w:eastAsia="Malgun Gothic"/>
        </w:rPr>
        <w:t>11</w:t>
      </w:r>
    </w:p>
    <w:p w14:paraId="68DE2134" w14:textId="77777777" w:rsidR="007F3553" w:rsidRPr="00443298" w:rsidRDefault="007F3553" w:rsidP="007F3553">
      <w:pPr>
        <w:pStyle w:val="BodyText"/>
        <w:rPr>
          <w:rFonts w:eastAsia="Malgun Gothic"/>
        </w:rPr>
      </w:pPr>
      <w:r w:rsidRPr="00443298">
        <w:rPr>
          <w:rFonts w:eastAsia="Malgun Gothic"/>
        </w:rPr>
        <w:t xml:space="preserve">Technical Domain / Task Number </w:t>
      </w:r>
      <w:r w:rsidRPr="00443298">
        <w:rPr>
          <w:rFonts w:eastAsia="Malgun Gothic"/>
          <w:vertAlign w:val="superscript"/>
        </w:rPr>
        <w:t>2</w:t>
      </w:r>
      <w:r w:rsidRPr="00443298">
        <w:rPr>
          <w:rFonts w:eastAsia="Malgun Gothic"/>
        </w:rPr>
        <w:tab/>
        <w:t>…………………………………</w:t>
      </w:r>
    </w:p>
    <w:p w14:paraId="23FC1D2E" w14:textId="17E8E1B9" w:rsidR="00D22BEC" w:rsidRPr="00443298" w:rsidRDefault="007F3553" w:rsidP="00C4038D">
      <w:pPr>
        <w:pStyle w:val="BodyText"/>
        <w:tabs>
          <w:tab w:val="left" w:pos="2835"/>
        </w:tabs>
        <w:ind w:left="2310" w:hangingChars="1050" w:hanging="2310"/>
        <w:rPr>
          <w:rFonts w:eastAsia="Malgun Gothic"/>
        </w:rPr>
      </w:pPr>
      <w:r w:rsidRPr="00443298">
        <w:rPr>
          <w:rFonts w:eastAsia="Malgun Gothic"/>
        </w:rPr>
        <w:t>Author(s) / Submitter(s)</w:t>
      </w:r>
      <w:r w:rsidRPr="00443298">
        <w:rPr>
          <w:rFonts w:eastAsia="Malgun Gothic"/>
        </w:rPr>
        <w:tab/>
      </w:r>
      <w:r w:rsidR="00D22BEC" w:rsidRPr="00443298">
        <w:rPr>
          <w:rFonts w:eastAsia="Malgun Gothic"/>
        </w:rPr>
        <w:t xml:space="preserve">  </w:t>
      </w:r>
      <w:r w:rsidR="00443298">
        <w:rPr>
          <w:rFonts w:eastAsia="Malgun Gothic"/>
        </w:rPr>
        <w:t xml:space="preserve">  </w:t>
      </w:r>
      <w:r w:rsidR="00D22BEC" w:rsidRPr="00443298">
        <w:rPr>
          <w:rFonts w:eastAsia="Malgun Gothic"/>
        </w:rPr>
        <w:t xml:space="preserve">        </w:t>
      </w:r>
      <w:r w:rsidRPr="00443298">
        <w:rPr>
          <w:rFonts w:eastAsia="Malgun Gothic"/>
        </w:rPr>
        <w:tab/>
      </w:r>
      <w:r w:rsidR="00D22BEC" w:rsidRPr="00443298">
        <w:rPr>
          <w:rFonts w:eastAsia="Malgun Gothic"/>
        </w:rPr>
        <w:t>Korean Register of Shipping</w:t>
      </w:r>
    </w:p>
    <w:p w14:paraId="6D19EB73" w14:textId="359BC8C0" w:rsidR="007F3553" w:rsidRPr="00443298" w:rsidRDefault="007F3553" w:rsidP="00D22BEC">
      <w:pPr>
        <w:pStyle w:val="BodyText"/>
        <w:tabs>
          <w:tab w:val="left" w:pos="2835"/>
        </w:tabs>
        <w:ind w:left="2310" w:hangingChars="1050" w:hanging="2310"/>
        <w:rPr>
          <w:rFonts w:eastAsia="Malgun Gothic"/>
        </w:rPr>
      </w:pPr>
    </w:p>
    <w:p w14:paraId="166A930A" w14:textId="79869B1F" w:rsidR="007F3553" w:rsidRDefault="00E42810" w:rsidP="00443298">
      <w:pPr>
        <w:pStyle w:val="Title"/>
        <w:rPr>
          <w:lang w:val="da-DK" w:eastAsia="ko-KR"/>
        </w:rPr>
      </w:pPr>
      <w:r w:rsidRPr="001754C2">
        <w:rPr>
          <w:rFonts w:hint="eastAsia"/>
          <w:lang w:val="da-DK" w:eastAsia="ko-KR"/>
        </w:rPr>
        <w:t xml:space="preserve">VDE </w:t>
      </w:r>
      <w:r w:rsidRPr="00443298">
        <w:rPr>
          <w:rFonts w:hint="eastAsia"/>
        </w:rPr>
        <w:t>Spectrum</w:t>
      </w:r>
      <w:r w:rsidRPr="001754C2">
        <w:rPr>
          <w:rFonts w:hint="eastAsia"/>
          <w:lang w:val="da-DK" w:eastAsia="ko-KR"/>
        </w:rPr>
        <w:t xml:space="preserve"> Mask </w:t>
      </w:r>
      <w:r w:rsidR="00EA3E00" w:rsidRPr="001754C2">
        <w:rPr>
          <w:rFonts w:hint="eastAsia"/>
          <w:lang w:val="da-DK" w:eastAsia="ko-KR"/>
        </w:rPr>
        <w:t>An</w:t>
      </w:r>
      <w:r w:rsidR="00724F95">
        <w:rPr>
          <w:lang w:val="da-DK" w:eastAsia="ko-KR"/>
        </w:rPr>
        <w:t>a</w:t>
      </w:r>
      <w:r w:rsidR="00EA3E00" w:rsidRPr="001754C2">
        <w:rPr>
          <w:rFonts w:hint="eastAsia"/>
          <w:lang w:val="da-DK" w:eastAsia="ko-KR"/>
        </w:rPr>
        <w:t>lysis</w:t>
      </w:r>
    </w:p>
    <w:p w14:paraId="1197AEA4" w14:textId="77777777" w:rsidR="007F3553" w:rsidRPr="001754C2" w:rsidRDefault="007F3553" w:rsidP="00443298">
      <w:pPr>
        <w:pStyle w:val="Heading1"/>
      </w:pPr>
      <w:r w:rsidRPr="00443298">
        <w:t>Summary</w:t>
      </w:r>
    </w:p>
    <w:p w14:paraId="62A25780" w14:textId="7E161721" w:rsidR="00BC4B17" w:rsidRPr="00443298" w:rsidRDefault="00660826" w:rsidP="00443298">
      <w:pPr>
        <w:pStyle w:val="BodyText"/>
      </w:pPr>
      <w:r w:rsidRPr="00443298">
        <w:t xml:space="preserve">We </w:t>
      </w:r>
      <w:r w:rsidRPr="00443298">
        <w:rPr>
          <w:rFonts w:hint="eastAsia"/>
        </w:rPr>
        <w:t xml:space="preserve">need to </w:t>
      </w:r>
      <w:r w:rsidR="00BC4B17" w:rsidRPr="00443298">
        <w:rPr>
          <w:rFonts w:hint="eastAsia"/>
        </w:rPr>
        <w:t>analyse the</w:t>
      </w:r>
      <w:r w:rsidRPr="00443298">
        <w:rPr>
          <w:rFonts w:hint="eastAsia"/>
        </w:rPr>
        <w:t xml:space="preserve"> spectrum mask requirement</w:t>
      </w:r>
      <w:r w:rsidR="00EB372D" w:rsidRPr="00443298">
        <w:rPr>
          <w:rFonts w:hint="eastAsia"/>
        </w:rPr>
        <w:t>s</w:t>
      </w:r>
      <w:r w:rsidRPr="00443298">
        <w:rPr>
          <w:rFonts w:hint="eastAsia"/>
        </w:rPr>
        <w:t xml:space="preserve"> for VDE shore station </w:t>
      </w:r>
      <w:r w:rsidR="00BC4B17" w:rsidRPr="00443298">
        <w:rPr>
          <w:rFonts w:hint="eastAsia"/>
        </w:rPr>
        <w:t xml:space="preserve">in </w:t>
      </w:r>
      <w:r w:rsidR="00EB372D" w:rsidRPr="00443298">
        <w:rPr>
          <w:rFonts w:hint="eastAsia"/>
        </w:rPr>
        <w:t xml:space="preserve">terms of </w:t>
      </w:r>
      <w:r w:rsidR="00BC4B17" w:rsidRPr="00443298">
        <w:rPr>
          <w:rFonts w:hint="eastAsia"/>
        </w:rPr>
        <w:t>the</w:t>
      </w:r>
      <w:r w:rsidRPr="00443298">
        <w:rPr>
          <w:rFonts w:hint="eastAsia"/>
        </w:rPr>
        <w:t xml:space="preserve"> frequency plan which is </w:t>
      </w:r>
      <w:r w:rsidRPr="00443298">
        <w:t>recommended</w:t>
      </w:r>
      <w:r w:rsidRPr="00443298">
        <w:rPr>
          <w:rFonts w:hint="eastAsia"/>
        </w:rPr>
        <w:t xml:space="preserve"> in ITU-R M.2092 [Ref 1]. In this report, </w:t>
      </w:r>
      <w:r w:rsidR="00BC4B17" w:rsidRPr="00443298">
        <w:t>the Spectrum Mask Recommendation for the VDE shore to ship frequency channel is analy</w:t>
      </w:r>
      <w:r w:rsidR="00724F95">
        <w:t>s</w:t>
      </w:r>
      <w:r w:rsidR="00BC4B17" w:rsidRPr="00443298">
        <w:t xml:space="preserve">ed and the IMD characteristics affecting the transmission spectrum are simulated in designing the actual VDE </w:t>
      </w:r>
      <w:r w:rsidR="00BC4B17" w:rsidRPr="00443298">
        <w:rPr>
          <w:rFonts w:hint="eastAsia"/>
        </w:rPr>
        <w:t>shore</w:t>
      </w:r>
      <w:r w:rsidR="00BC4B17" w:rsidRPr="00443298">
        <w:t xml:space="preserve"> station transmitter</w:t>
      </w:r>
    </w:p>
    <w:p w14:paraId="1E4190AF" w14:textId="50F11D2E" w:rsidR="00EA3E00" w:rsidRPr="00443298" w:rsidRDefault="00BC4B17" w:rsidP="00443298">
      <w:pPr>
        <w:pStyle w:val="BodyText"/>
      </w:pPr>
      <w:r w:rsidRPr="00443298">
        <w:t xml:space="preserve">The transmitter output is designed to have a constant back-off characteristic in consideration of the PAPR characteristics. </w:t>
      </w:r>
      <w:r w:rsidRPr="00443298">
        <w:rPr>
          <w:rFonts w:hint="eastAsia"/>
        </w:rPr>
        <w:t>For example,</w:t>
      </w:r>
      <w:r w:rsidRPr="00443298">
        <w:t xml:space="preserve"> the VDE 100kHz channel has 16QAM modulation characteristics,</w:t>
      </w:r>
      <w:r w:rsidR="00EB372D" w:rsidRPr="00443298">
        <w:rPr>
          <w:rFonts w:hint="eastAsia"/>
        </w:rPr>
        <w:t xml:space="preserve"> so</w:t>
      </w:r>
      <w:r w:rsidRPr="00443298">
        <w:t xml:space="preserve"> it is necessary to select the FET of the final amplifier to have a maximum back-off of 7dB.</w:t>
      </w:r>
    </w:p>
    <w:p w14:paraId="6A458172" w14:textId="0CD8DC4F" w:rsidR="00BC4B17" w:rsidRPr="00443298" w:rsidRDefault="00BC4B17" w:rsidP="00443298">
      <w:pPr>
        <w:pStyle w:val="BodyText"/>
      </w:pPr>
      <w:r w:rsidRPr="00443298">
        <w:t xml:space="preserve">In this case, the IMD characteristic that can be obtained from the transmitter output is about </w:t>
      </w:r>
      <w:r w:rsidR="000C57D4" w:rsidRPr="00443298">
        <w:rPr>
          <w:rFonts w:hint="eastAsia"/>
        </w:rPr>
        <w:t>max</w:t>
      </w:r>
      <w:r w:rsidR="00380334" w:rsidRPr="00443298">
        <w:rPr>
          <w:rFonts w:hint="eastAsia"/>
        </w:rPr>
        <w:t>.</w:t>
      </w:r>
      <w:r w:rsidR="000C57D4" w:rsidRPr="00443298">
        <w:rPr>
          <w:rFonts w:hint="eastAsia"/>
        </w:rPr>
        <w:t xml:space="preserve"> -40dBc.</w:t>
      </w:r>
      <w:r w:rsidRPr="00443298">
        <w:t xml:space="preserve"> </w:t>
      </w:r>
      <w:r w:rsidRPr="00443298">
        <w:rPr>
          <w:rFonts w:hint="eastAsia"/>
        </w:rPr>
        <w:t xml:space="preserve">But </w:t>
      </w:r>
      <w:r w:rsidRPr="00443298">
        <w:t xml:space="preserve">it does not satisfy the spectrum mask standard proposed in Recommendation ITU-R M.2092, </w:t>
      </w:r>
      <w:r w:rsidR="000E4BBC" w:rsidRPr="00443298">
        <w:t>therefore</w:t>
      </w:r>
      <w:r w:rsidR="000E4BBC" w:rsidRPr="00443298">
        <w:rPr>
          <w:rFonts w:hint="eastAsia"/>
        </w:rPr>
        <w:t xml:space="preserve"> </w:t>
      </w:r>
      <w:r w:rsidRPr="00443298">
        <w:t>the linearizer must be applied to the transmitter in orde</w:t>
      </w:r>
      <w:r w:rsidR="000E4BBC" w:rsidRPr="00443298">
        <w:t>r to satisfy the specification</w:t>
      </w:r>
      <w:r w:rsidR="000C57D4" w:rsidRPr="00443298">
        <w:rPr>
          <w:rFonts w:hint="eastAsia"/>
        </w:rPr>
        <w:t>s</w:t>
      </w:r>
      <w:r w:rsidR="000E4BBC" w:rsidRPr="00443298">
        <w:rPr>
          <w:rFonts w:hint="eastAsia"/>
        </w:rPr>
        <w:t>.</w:t>
      </w:r>
    </w:p>
    <w:p w14:paraId="433E8D3C" w14:textId="1CC7BC9E" w:rsidR="000E4BBC" w:rsidRPr="00443298" w:rsidRDefault="000E4BBC" w:rsidP="00443298">
      <w:pPr>
        <w:pStyle w:val="BodyText"/>
      </w:pPr>
      <w:r w:rsidRPr="00443298">
        <w:rPr>
          <w:rFonts w:hint="eastAsia"/>
        </w:rPr>
        <w:t xml:space="preserve">This report is not described </w:t>
      </w:r>
      <w:r w:rsidR="000C57D4" w:rsidRPr="00443298">
        <w:rPr>
          <w:rFonts w:hint="eastAsia"/>
        </w:rPr>
        <w:t xml:space="preserve">about </w:t>
      </w:r>
      <w:r w:rsidRPr="00443298">
        <w:rPr>
          <w:rFonts w:hint="eastAsia"/>
        </w:rPr>
        <w:t>the type and technical structure of linearizer in detail.</w:t>
      </w:r>
    </w:p>
    <w:p w14:paraId="415D84D7" w14:textId="77777777" w:rsidR="000A4BE8" w:rsidRPr="00443298" w:rsidRDefault="000A4BE8" w:rsidP="00443298">
      <w:pPr>
        <w:pStyle w:val="BodyText"/>
      </w:pPr>
    </w:p>
    <w:p w14:paraId="7B4AF5B4" w14:textId="77777777" w:rsidR="007F3553" w:rsidRPr="001754C2" w:rsidRDefault="007F3553" w:rsidP="00443298">
      <w:pPr>
        <w:pStyle w:val="Heading2"/>
      </w:pPr>
      <w:r w:rsidRPr="00443298">
        <w:t>Purpose</w:t>
      </w:r>
      <w:r w:rsidRPr="001754C2">
        <w:t xml:space="preserve"> of the document</w:t>
      </w:r>
    </w:p>
    <w:p w14:paraId="309C4BE0" w14:textId="1361F0C2" w:rsidR="00572174" w:rsidRPr="001754C2" w:rsidRDefault="00572174" w:rsidP="00443298">
      <w:pPr>
        <w:pStyle w:val="BodyText"/>
        <w:rPr>
          <w:lang w:eastAsia="ko-KR"/>
        </w:rPr>
      </w:pPr>
      <w:r w:rsidRPr="001754C2">
        <w:rPr>
          <w:lang w:eastAsia="ko-KR"/>
        </w:rPr>
        <w:t xml:space="preserve">This report </w:t>
      </w:r>
      <w:r w:rsidRPr="00443298">
        <w:t>analy</w:t>
      </w:r>
      <w:r w:rsidR="00724F95">
        <w:t>s</w:t>
      </w:r>
      <w:r w:rsidRPr="00443298">
        <w:t>es</w:t>
      </w:r>
      <w:r w:rsidRPr="001754C2">
        <w:rPr>
          <w:lang w:eastAsia="ko-KR"/>
        </w:rPr>
        <w:t xml:space="preserve"> the Spectrum Mask specification of Recommendation ITU-R M.2092 and identifies the spectrum mask characteristics in a general transmitter structure by simulation to </w:t>
      </w:r>
      <w:r w:rsidRPr="001754C2">
        <w:rPr>
          <w:rFonts w:hint="eastAsia"/>
          <w:lang w:eastAsia="ko-KR"/>
        </w:rPr>
        <w:t>propose</w:t>
      </w:r>
      <w:r w:rsidRPr="001754C2">
        <w:rPr>
          <w:lang w:eastAsia="ko-KR"/>
        </w:rPr>
        <w:t xml:space="preserve"> the basic structure of VDE</w:t>
      </w:r>
      <w:r w:rsidRPr="001754C2">
        <w:rPr>
          <w:rFonts w:hint="eastAsia"/>
          <w:lang w:eastAsia="ko-KR"/>
        </w:rPr>
        <w:t xml:space="preserve"> for </w:t>
      </w:r>
      <w:r w:rsidRPr="001754C2">
        <w:rPr>
          <w:lang w:eastAsia="ko-KR"/>
        </w:rPr>
        <w:t>shore to ship and ship to ship communication</w:t>
      </w:r>
      <w:r w:rsidR="000E4BBC" w:rsidRPr="001754C2">
        <w:rPr>
          <w:rFonts w:hint="eastAsia"/>
          <w:lang w:eastAsia="ko-KR"/>
        </w:rPr>
        <w:t>.</w:t>
      </w:r>
    </w:p>
    <w:p w14:paraId="05C0FDAB" w14:textId="2958C5A6" w:rsidR="007F3553" w:rsidRPr="001754C2" w:rsidRDefault="007F3553" w:rsidP="007F3553">
      <w:pPr>
        <w:pStyle w:val="BodyText"/>
        <w:rPr>
          <w:rFonts w:ascii="Arial" w:eastAsia="Malgun Gothic" w:hAnsi="Arial"/>
          <w:lang w:eastAsia="ko-KR"/>
        </w:rPr>
      </w:pPr>
      <w:r w:rsidRPr="001754C2">
        <w:rPr>
          <w:rFonts w:ascii="Arial" w:eastAsia="Malgun Gothic" w:hAnsi="Arial"/>
        </w:rPr>
        <w:t>.</w:t>
      </w:r>
    </w:p>
    <w:p w14:paraId="57D04596" w14:textId="77777777" w:rsidR="007F3553" w:rsidRPr="001754C2" w:rsidRDefault="007F3553" w:rsidP="00443298">
      <w:pPr>
        <w:pStyle w:val="Heading2"/>
      </w:pPr>
      <w:r w:rsidRPr="00443298">
        <w:t>Related</w:t>
      </w:r>
      <w:r w:rsidRPr="001754C2">
        <w:t xml:space="preserve"> documents</w:t>
      </w:r>
    </w:p>
    <w:p w14:paraId="4E0C9C4E" w14:textId="54D53340" w:rsidR="00660826" w:rsidRPr="001754C2" w:rsidRDefault="00660826" w:rsidP="00443298">
      <w:pPr>
        <w:pStyle w:val="Bullet1"/>
      </w:pPr>
      <w:r w:rsidRPr="001754C2">
        <w:rPr>
          <w:rFonts w:hint="eastAsia"/>
          <w:lang w:eastAsia="ko-KR"/>
        </w:rPr>
        <w:t>[Ref 1] ITU-R M.2092</w:t>
      </w:r>
    </w:p>
    <w:p w14:paraId="223C502F" w14:textId="73F0725B" w:rsidR="00D27ABE" w:rsidRDefault="00CD1882" w:rsidP="00443298">
      <w:pPr>
        <w:pStyle w:val="Bullet1"/>
      </w:pPr>
      <w:r w:rsidRPr="001754C2">
        <w:t xml:space="preserve">Review </w:t>
      </w:r>
      <w:r w:rsidRPr="00443298">
        <w:t>ENAV19</w:t>
      </w:r>
      <w:r w:rsidRPr="001754C2">
        <w:t xml:space="preserve"> 20160922 v0 WD_WG3_Item110_REC-M.</w:t>
      </w:r>
    </w:p>
    <w:p w14:paraId="7F011737" w14:textId="77777777" w:rsidR="00443298" w:rsidRPr="001754C2" w:rsidRDefault="00443298" w:rsidP="00443298">
      <w:pPr>
        <w:pStyle w:val="BodyText"/>
      </w:pPr>
    </w:p>
    <w:p w14:paraId="66768AFE" w14:textId="77777777" w:rsidR="007F3553" w:rsidRPr="001754C2" w:rsidRDefault="007F3553" w:rsidP="00443298">
      <w:pPr>
        <w:pStyle w:val="Heading1"/>
      </w:pPr>
      <w:r w:rsidRPr="00443298">
        <w:t>Background</w:t>
      </w:r>
    </w:p>
    <w:p w14:paraId="3D69300C" w14:textId="470500E0" w:rsidR="000E4BBC" w:rsidRDefault="000E4BBC" w:rsidP="00443298">
      <w:pPr>
        <w:pStyle w:val="BodyText"/>
        <w:rPr>
          <w:lang w:eastAsia="ko-KR"/>
        </w:rPr>
      </w:pPr>
      <w:r w:rsidRPr="001754C2">
        <w:rPr>
          <w:lang w:eastAsia="ko-KR"/>
        </w:rPr>
        <w:t>The frequency channel assignment of VDES is recommended in Recommendation ITU-R M.2092 as follows</w:t>
      </w:r>
      <w:r w:rsidR="00443298">
        <w:rPr>
          <w:lang w:eastAsia="ko-KR"/>
        </w:rPr>
        <w:t>.</w:t>
      </w:r>
    </w:p>
    <w:p w14:paraId="17F520B9" w14:textId="77777777" w:rsidR="00724F95" w:rsidRPr="00724F95" w:rsidRDefault="00724F95" w:rsidP="00443298">
      <w:pPr>
        <w:pStyle w:val="BodyText"/>
        <w:rPr>
          <w:sz w:val="16"/>
          <w:szCs w:val="16"/>
          <w:lang w:eastAsia="ko-KR"/>
        </w:rPr>
      </w:pPr>
    </w:p>
    <w:p w14:paraId="75E17C38" w14:textId="77777777" w:rsidR="00443298" w:rsidRDefault="004A731C" w:rsidP="00443298">
      <w:pPr>
        <w:pStyle w:val="BodyText"/>
        <w:keepNext/>
        <w:jc w:val="center"/>
      </w:pPr>
      <w:r w:rsidRPr="001754C2">
        <w:rPr>
          <w:rFonts w:ascii="Arial" w:eastAsia="Malgun Gothic" w:hAnsi="Arial"/>
        </w:rPr>
        <w:object w:dxaOrig="14888" w:dyaOrig="2642" w14:anchorId="406A2C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85.5pt" o:ole="">
            <v:imagedata r:id="rId8" o:title=""/>
          </v:shape>
          <o:OLEObject Type="Embed" ProgID="Visio.Drawing.11" ShapeID="_x0000_i1025" DrawAspect="Content" ObjectID="_1565770069" r:id="rId9"/>
        </w:object>
      </w:r>
    </w:p>
    <w:p w14:paraId="666757E5" w14:textId="5D2BE17F" w:rsidR="00443298" w:rsidRDefault="00443298" w:rsidP="00443298">
      <w:pPr>
        <w:pStyle w:val="Caption"/>
        <w:jc w:val="center"/>
      </w:pPr>
      <w:r>
        <w:t xml:space="preserve">Figure </w:t>
      </w:r>
      <w:r w:rsidR="00B273CB">
        <w:fldChar w:fldCharType="begin"/>
      </w:r>
      <w:r w:rsidR="00B273CB">
        <w:instrText xml:space="preserve"> SEQ Figure \* ARABIC </w:instrText>
      </w:r>
      <w:r w:rsidR="00B273CB">
        <w:fldChar w:fldCharType="separate"/>
      </w:r>
      <w:r w:rsidR="00612DEC">
        <w:rPr>
          <w:noProof/>
        </w:rPr>
        <w:t>1</w:t>
      </w:r>
      <w:r w:rsidR="00B273CB">
        <w:rPr>
          <w:noProof/>
        </w:rPr>
        <w:fldChar w:fldCharType="end"/>
      </w:r>
      <w:r w:rsidRPr="00837E6C">
        <w:t>. VDES Frequency Allocation plan</w:t>
      </w:r>
    </w:p>
    <w:p w14:paraId="7776B2D4" w14:textId="77777777" w:rsidR="00443298" w:rsidRDefault="00443298" w:rsidP="00443298">
      <w:pPr>
        <w:pStyle w:val="BodyText"/>
        <w:rPr>
          <w:lang w:eastAsia="ko-KR"/>
        </w:rPr>
      </w:pPr>
    </w:p>
    <w:p w14:paraId="206EF638" w14:textId="2BA01A03" w:rsidR="000E4BBC" w:rsidRPr="001754C2" w:rsidRDefault="000E4BBC" w:rsidP="00443298">
      <w:pPr>
        <w:pStyle w:val="BodyText"/>
        <w:rPr>
          <w:lang w:eastAsia="ko-KR"/>
        </w:rPr>
      </w:pPr>
      <w:r w:rsidRPr="001754C2">
        <w:rPr>
          <w:lang w:eastAsia="ko-KR"/>
        </w:rPr>
        <w:t>As shown i</w:t>
      </w:r>
      <w:r w:rsidR="0051063C" w:rsidRPr="001754C2">
        <w:rPr>
          <w:lang w:eastAsia="ko-KR"/>
        </w:rPr>
        <w:t>n the frequency allocation plan in Figure 1</w:t>
      </w:r>
      <w:r w:rsidRPr="001754C2">
        <w:rPr>
          <w:lang w:eastAsia="ko-KR"/>
        </w:rPr>
        <w:t xml:space="preserve">, the VDE1-B channel of VDE shore to ship and ship to ship has four channels with a 25 kHz bandwidth, and the AIS and ASM channels have two channels each with a 25 kHz bandwidth. There are various methods for </w:t>
      </w:r>
      <w:r w:rsidR="00AB2325" w:rsidRPr="00443298">
        <w:rPr>
          <w:rFonts w:hint="eastAsia"/>
          <w:lang w:eastAsia="ko-KR"/>
        </w:rPr>
        <w:t xml:space="preserve">resolving </w:t>
      </w:r>
      <w:r w:rsidRPr="001754C2">
        <w:rPr>
          <w:lang w:eastAsia="ko-KR"/>
        </w:rPr>
        <w:t>the interference problem in system operation by allocating the frequency continuously without any separation between the channels.</w:t>
      </w:r>
    </w:p>
    <w:p w14:paraId="7B808220" w14:textId="1E3096B8" w:rsidR="0051063C" w:rsidRDefault="0051063C" w:rsidP="00443298">
      <w:pPr>
        <w:pStyle w:val="BodyText"/>
        <w:rPr>
          <w:lang w:eastAsia="ko-KR"/>
        </w:rPr>
      </w:pPr>
      <w:r w:rsidRPr="001754C2">
        <w:rPr>
          <w:lang w:eastAsia="ko-KR"/>
        </w:rPr>
        <w:t xml:space="preserve">The VDE1-B channel can be used in the </w:t>
      </w:r>
      <w:proofErr w:type="gramStart"/>
      <w:r w:rsidRPr="001754C2">
        <w:rPr>
          <w:lang w:eastAsia="ko-KR"/>
        </w:rPr>
        <w:t>25kHz</w:t>
      </w:r>
      <w:proofErr w:type="gramEnd"/>
      <w:r w:rsidRPr="001754C2">
        <w:rPr>
          <w:lang w:eastAsia="ko-KR"/>
        </w:rPr>
        <w:t xml:space="preserve">, 50kHz, and 100kHz bands, and the modulation methods are </w:t>
      </w:r>
      <w:r w:rsidRPr="00443298">
        <w:rPr>
          <w:lang w:eastAsia="ko-KR"/>
        </w:rPr>
        <w:t>QPSK</w:t>
      </w:r>
      <w:r w:rsidRPr="001754C2">
        <w:rPr>
          <w:lang w:eastAsia="ko-KR"/>
        </w:rPr>
        <w:t xml:space="preserve">, 8PSK, and 16QAM. In </w:t>
      </w:r>
      <w:r w:rsidRPr="001754C2">
        <w:rPr>
          <w:rFonts w:hint="eastAsia"/>
          <w:lang w:eastAsia="ko-KR"/>
        </w:rPr>
        <w:t xml:space="preserve">the </w:t>
      </w:r>
      <w:r w:rsidRPr="001754C2">
        <w:rPr>
          <w:lang w:eastAsia="ko-KR"/>
        </w:rPr>
        <w:t xml:space="preserve">ITU-R M.2092, the spectral mask according to the bandwidth of each transmitter power of VDES is recommended as shown in the table </w:t>
      </w:r>
      <w:r w:rsidR="007A2841">
        <w:rPr>
          <w:lang w:eastAsia="ko-KR"/>
        </w:rPr>
        <w:t>1</w:t>
      </w:r>
      <w:r w:rsidRPr="001754C2">
        <w:rPr>
          <w:lang w:eastAsia="ko-KR"/>
        </w:rPr>
        <w:t xml:space="preserve">, and an analysis report on spectrum mask according to the recommendation </w:t>
      </w:r>
      <w:r w:rsidR="005D2FC8" w:rsidRPr="001754C2">
        <w:rPr>
          <w:rFonts w:hint="eastAsia"/>
          <w:lang w:eastAsia="ko-KR"/>
        </w:rPr>
        <w:t xml:space="preserve">are still being </w:t>
      </w:r>
      <w:r w:rsidRPr="001754C2">
        <w:rPr>
          <w:rFonts w:hint="eastAsia"/>
          <w:lang w:eastAsia="ko-KR"/>
        </w:rPr>
        <w:t xml:space="preserve">proposed </w:t>
      </w:r>
      <w:r w:rsidR="00AB2325" w:rsidRPr="00443298">
        <w:rPr>
          <w:rFonts w:hint="eastAsia"/>
          <w:lang w:eastAsia="ko-KR"/>
        </w:rPr>
        <w:t>for discussion</w:t>
      </w:r>
      <w:r w:rsidRPr="001754C2">
        <w:rPr>
          <w:rFonts w:hint="eastAsia"/>
          <w:lang w:eastAsia="ko-KR"/>
        </w:rPr>
        <w:t>.</w:t>
      </w:r>
    </w:p>
    <w:p w14:paraId="1F97A72D" w14:textId="77777777" w:rsidR="00724F95" w:rsidRPr="001754C2" w:rsidRDefault="00724F95" w:rsidP="00443298">
      <w:pPr>
        <w:pStyle w:val="BodyText"/>
        <w:rPr>
          <w:lang w:eastAsia="ko-KR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3763"/>
        <w:gridCol w:w="3106"/>
      </w:tblGrid>
      <w:tr w:rsidR="00907D7C" w:rsidRPr="001754C2" w14:paraId="20FF6CD7" w14:textId="77777777" w:rsidTr="00435261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6980" w14:textId="77777777" w:rsidR="00907D7C" w:rsidRPr="00724F95" w:rsidRDefault="00907D7C" w:rsidP="00724F95">
            <w:pPr>
              <w:pStyle w:val="BodyText"/>
              <w:jc w:val="center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Transmitter parameters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2817" w14:textId="77777777" w:rsidR="00907D7C" w:rsidRPr="00724F95" w:rsidRDefault="00907D7C" w:rsidP="00724F95">
            <w:pPr>
              <w:pStyle w:val="BodyText"/>
              <w:jc w:val="center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Requirements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FD54" w14:textId="77777777" w:rsidR="00907D7C" w:rsidRPr="00724F95" w:rsidRDefault="00907D7C" w:rsidP="00724F95">
            <w:pPr>
              <w:pStyle w:val="BodyText"/>
              <w:jc w:val="center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Condition</w:t>
            </w:r>
          </w:p>
        </w:tc>
      </w:tr>
      <w:tr w:rsidR="00907D7C" w:rsidRPr="001754C2" w14:paraId="69FAB1EE" w14:textId="77777777" w:rsidTr="00435261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281C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Frequency error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6FE5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3 ppm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871A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normal</w:t>
            </w:r>
          </w:p>
        </w:tc>
      </w:tr>
      <w:tr w:rsidR="00907D7C" w:rsidRPr="001754C2" w14:paraId="43E1E5FE" w14:textId="77777777" w:rsidTr="00435261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EE39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Maximum transmit power capability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D6BA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For ship stations: Transmit average power should be at least 1 watt and not exceed 25 watts at the transmitter output. </w:t>
            </w:r>
            <w:r w:rsidRPr="00724F95">
              <w:rPr>
                <w:rFonts w:eastAsia="Malgun Gothic"/>
              </w:rPr>
              <w:br/>
              <w:t>For shore stations: Transmit average power should be at least 12.5 watt and not exceed 50 watts at the base of the antenna.</w:t>
            </w:r>
          </w:p>
          <w:p w14:paraId="4C656520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±1.5 dB normal, +2/−6 dB extreme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685F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Conducted</w:t>
            </w:r>
          </w:p>
        </w:tc>
      </w:tr>
      <w:tr w:rsidR="00907D7C" w:rsidRPr="001754C2" w14:paraId="19D58363" w14:textId="77777777" w:rsidTr="00724F95">
        <w:trPr>
          <w:trHeight w:val="1080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272D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Maximum adjacent power levels for 25 kHz channel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8C462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0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  <w:p w14:paraId="6BE2D80A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−25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  <w:p w14:paraId="7886DBF5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−60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4E99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±12.5 kHz</w:t>
            </w:r>
          </w:p>
          <w:p w14:paraId="75212283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±12.5 kHz &lt; </w:t>
            </w: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±25 kHz</w:t>
            </w:r>
          </w:p>
          <w:p w14:paraId="1336011D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±25 kHz &lt; </w:t>
            </w: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±75 kHz</w:t>
            </w:r>
          </w:p>
        </w:tc>
      </w:tr>
      <w:tr w:rsidR="00907D7C" w:rsidRPr="001754C2" w14:paraId="1CA35026" w14:textId="77777777" w:rsidTr="00724F95">
        <w:trPr>
          <w:trHeight w:val="756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3C3E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Maximum adjacent power levels for 50 kHz channel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D0BE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0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  <w:p w14:paraId="4BC9E808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−25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  <w:p w14:paraId="1BD76109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−60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5FDA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±25 kHz</w:t>
            </w:r>
          </w:p>
          <w:p w14:paraId="4613EFE8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±25 kHz &lt; </w:t>
            </w: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±50 kHz</w:t>
            </w:r>
          </w:p>
          <w:p w14:paraId="05E77C97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±50 kHz&lt; </w:t>
            </w: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±100 kHz</w:t>
            </w:r>
          </w:p>
        </w:tc>
      </w:tr>
      <w:tr w:rsidR="00907D7C" w:rsidRPr="001754C2" w14:paraId="043D2D8E" w14:textId="77777777" w:rsidTr="00724F95">
        <w:trPr>
          <w:trHeight w:val="858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8A7C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Maximum adjacent power levels for 100 kHz channel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B983A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0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  <w:p w14:paraId="224BD977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−25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  <w:p w14:paraId="52E26F63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−60 </w:t>
            </w:r>
            <w:proofErr w:type="spellStart"/>
            <w:r w:rsidRPr="00724F95">
              <w:rPr>
                <w:rFonts w:eastAsia="Malgun Gothic"/>
              </w:rPr>
              <w:t>dBc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1BE7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±50 kHz</w:t>
            </w:r>
          </w:p>
          <w:p w14:paraId="24B35F30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±50 kHz &lt; </w:t>
            </w: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±100 kHz</w:t>
            </w:r>
          </w:p>
          <w:p w14:paraId="105767FE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±100 kHz &lt; </w:t>
            </w:r>
            <w:proofErr w:type="spellStart"/>
            <w:r w:rsidRPr="00724F95">
              <w:rPr>
                <w:rFonts w:eastAsia="Malgun Gothic"/>
              </w:rPr>
              <w:t>Δfc</w:t>
            </w:r>
            <w:proofErr w:type="spellEnd"/>
            <w:r w:rsidRPr="00724F95">
              <w:rPr>
                <w:rFonts w:eastAsia="Malgun Gothic"/>
              </w:rPr>
              <w:t xml:space="preserve"> &lt; ±150 kHz</w:t>
            </w:r>
          </w:p>
        </w:tc>
      </w:tr>
      <w:tr w:rsidR="00907D7C" w:rsidRPr="001754C2" w14:paraId="643C9686" w14:textId="77777777" w:rsidTr="00724F95">
        <w:trPr>
          <w:trHeight w:val="47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4F7E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Spurious emissions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6360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−36 </w:t>
            </w:r>
            <w:proofErr w:type="spellStart"/>
            <w:r w:rsidRPr="00724F95">
              <w:rPr>
                <w:rFonts w:eastAsia="Malgun Gothic"/>
              </w:rPr>
              <w:t>dBm</w:t>
            </w:r>
            <w:proofErr w:type="spellEnd"/>
          </w:p>
          <w:p w14:paraId="0B60221C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 xml:space="preserve">−30 </w:t>
            </w:r>
            <w:proofErr w:type="spellStart"/>
            <w:r w:rsidRPr="00724F95">
              <w:rPr>
                <w:rFonts w:eastAsia="Malgun Gothic"/>
              </w:rPr>
              <w:t>dBm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438C" w14:textId="77777777" w:rsidR="00907D7C" w:rsidRPr="00724F95" w:rsidRDefault="00907D7C" w:rsidP="00353864">
            <w:pPr>
              <w:pStyle w:val="BodyText"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9 kHz to 1 GHz</w:t>
            </w:r>
          </w:p>
          <w:p w14:paraId="38710E41" w14:textId="77777777" w:rsidR="00907D7C" w:rsidRPr="00724F95" w:rsidRDefault="00907D7C" w:rsidP="00443298">
            <w:pPr>
              <w:pStyle w:val="BodyText"/>
              <w:keepNext/>
              <w:rPr>
                <w:rFonts w:eastAsia="Malgun Gothic"/>
              </w:rPr>
            </w:pPr>
            <w:r w:rsidRPr="00724F95">
              <w:rPr>
                <w:rFonts w:eastAsia="Malgun Gothic"/>
              </w:rPr>
              <w:t>1 GHz to 4 GHz</w:t>
            </w:r>
          </w:p>
        </w:tc>
      </w:tr>
    </w:tbl>
    <w:p w14:paraId="2906A619" w14:textId="61775FC0" w:rsidR="00DB3B2C" w:rsidRPr="001754C2" w:rsidRDefault="00443298" w:rsidP="00724F95">
      <w:pPr>
        <w:pStyle w:val="Caption"/>
        <w:jc w:val="center"/>
        <w:rPr>
          <w:rFonts w:eastAsia="Malgun Gothic"/>
          <w:lang w:val="en-US" w:eastAsia="ko-KR"/>
        </w:rPr>
      </w:pPr>
      <w:r>
        <w:t xml:space="preserve">Table </w:t>
      </w:r>
      <w:r w:rsidR="00B273CB">
        <w:fldChar w:fldCharType="begin"/>
      </w:r>
      <w:r w:rsidR="00B273CB">
        <w:instrText xml:space="preserve"> SEQ Table \* ARABIC </w:instrText>
      </w:r>
      <w:r w:rsidR="00B273CB">
        <w:fldChar w:fldCharType="separate"/>
      </w:r>
      <w:r w:rsidR="00612DEC">
        <w:rPr>
          <w:noProof/>
        </w:rPr>
        <w:t>1</w:t>
      </w:r>
      <w:r w:rsidR="00B273CB">
        <w:rPr>
          <w:noProof/>
        </w:rPr>
        <w:fldChar w:fldCharType="end"/>
      </w:r>
      <w:r>
        <w:t>.</w:t>
      </w:r>
      <w:r w:rsidRPr="001754C2">
        <w:rPr>
          <w:rFonts w:hint="eastAsia"/>
          <w:lang w:eastAsia="ko-KR"/>
        </w:rPr>
        <w:t xml:space="preserve"> </w:t>
      </w:r>
      <w:r w:rsidRPr="00724F95">
        <w:rPr>
          <w:rFonts w:hint="eastAsia"/>
        </w:rPr>
        <w:t>VDES</w:t>
      </w:r>
      <w:r w:rsidRPr="001754C2">
        <w:rPr>
          <w:rFonts w:hint="eastAsia"/>
          <w:lang w:eastAsia="ko-KR"/>
        </w:rPr>
        <w:t xml:space="preserve"> </w:t>
      </w:r>
      <w:r w:rsidRPr="00687594">
        <w:rPr>
          <w:rFonts w:hint="eastAsia"/>
        </w:rPr>
        <w:t>Transmitter</w:t>
      </w:r>
      <w:r w:rsidRPr="001754C2">
        <w:rPr>
          <w:rFonts w:hint="eastAsia"/>
          <w:lang w:eastAsia="ko-KR"/>
        </w:rPr>
        <w:t xml:space="preserve"> Specification</w:t>
      </w:r>
    </w:p>
    <w:p w14:paraId="72F30B6F" w14:textId="77777777" w:rsidR="00687594" w:rsidRPr="007A2841" w:rsidRDefault="00CD1882" w:rsidP="007A2841">
      <w:pPr>
        <w:pStyle w:val="BodyText"/>
        <w:jc w:val="center"/>
      </w:pPr>
      <w:r w:rsidRPr="007A2841">
        <w:object w:dxaOrig="13725" w:dyaOrig="6913" w14:anchorId="164C9698">
          <v:shape id="_x0000_i1026" type="#_x0000_t75" style="width:382.15pt;height:192.75pt" o:ole="" o:bordertopcolor="this" o:borderleftcolor="this" o:borderbottomcolor="this" o:borderrightcolor="this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Visio.Drawing.11" ShapeID="_x0000_i1026" DrawAspect="Content" ObjectID="_1565770070" r:id="rId11"/>
        </w:object>
      </w:r>
    </w:p>
    <w:p w14:paraId="5C183231" w14:textId="2917D5FA" w:rsidR="003D17A1" w:rsidRPr="001754C2" w:rsidRDefault="00687594" w:rsidP="00687594">
      <w:pPr>
        <w:pStyle w:val="Caption"/>
        <w:jc w:val="center"/>
        <w:rPr>
          <w:rFonts w:eastAsia="Malgun Gothic"/>
          <w:lang w:eastAsia="ko-KR"/>
        </w:rPr>
      </w:pPr>
      <w:r>
        <w:t xml:space="preserve">Figure </w:t>
      </w:r>
      <w:r w:rsidR="00B273CB">
        <w:fldChar w:fldCharType="begin"/>
      </w:r>
      <w:r w:rsidR="00B273CB">
        <w:instrText xml:space="preserve"> SEQ Figure \* ARABIC </w:instrText>
      </w:r>
      <w:r w:rsidR="00B273CB">
        <w:fldChar w:fldCharType="separate"/>
      </w:r>
      <w:r w:rsidR="00612DEC">
        <w:rPr>
          <w:noProof/>
        </w:rPr>
        <w:t>2</w:t>
      </w:r>
      <w:r w:rsidR="00B273CB">
        <w:rPr>
          <w:noProof/>
        </w:rPr>
        <w:fldChar w:fldCharType="end"/>
      </w:r>
      <w:r>
        <w:t xml:space="preserve">. </w:t>
      </w:r>
      <w:r w:rsidRPr="00302AD2">
        <w:t>Maximum Adjacent Power level for V</w:t>
      </w:r>
      <w:r w:rsidR="002671D2">
        <w:t>DE</w:t>
      </w:r>
      <w:r w:rsidRPr="00302AD2">
        <w:t xml:space="preserve"> Channels </w:t>
      </w:r>
      <w:proofErr w:type="gramStart"/>
      <w:r w:rsidRPr="00302AD2">
        <w:t>25KHz</w:t>
      </w:r>
      <w:proofErr w:type="gramEnd"/>
    </w:p>
    <w:p w14:paraId="0AC1E9E2" w14:textId="77777777" w:rsidR="00C67B95" w:rsidRPr="00687594" w:rsidRDefault="00C67B95" w:rsidP="007F3553">
      <w:pPr>
        <w:pStyle w:val="BodyText"/>
        <w:rPr>
          <w:rFonts w:ascii="Arial" w:eastAsia="Malgun Gothic" w:hAnsi="Arial"/>
          <w:lang w:eastAsia="ko-KR"/>
        </w:rPr>
      </w:pPr>
    </w:p>
    <w:p w14:paraId="0CE8A601" w14:textId="450BAFEB" w:rsidR="007F3553" w:rsidRPr="001754C2" w:rsidRDefault="00494914" w:rsidP="00687594">
      <w:pPr>
        <w:pStyle w:val="Heading1"/>
      </w:pPr>
      <w:r w:rsidRPr="00687594">
        <w:rPr>
          <w:rFonts w:hint="eastAsia"/>
        </w:rPr>
        <w:t>Intermodulation</w:t>
      </w:r>
      <w:r w:rsidRPr="001754C2">
        <w:rPr>
          <w:rFonts w:hint="eastAsia"/>
          <w:lang w:eastAsia="ko-KR"/>
        </w:rPr>
        <w:t xml:space="preserve"> distortion</w:t>
      </w:r>
    </w:p>
    <w:p w14:paraId="0644C28B" w14:textId="48045108" w:rsidR="005E43F1" w:rsidRDefault="005E43F1" w:rsidP="00687594">
      <w:pPr>
        <w:pStyle w:val="BodyText"/>
        <w:rPr>
          <w:lang w:eastAsia="ko-KR"/>
        </w:rPr>
      </w:pPr>
      <w:r w:rsidRPr="001754C2">
        <w:rPr>
          <w:lang w:eastAsia="ko-KR"/>
        </w:rPr>
        <w:t xml:space="preserve">In order to satisfy the maximum adjacent power levels recommended in ITU-R M.2092, it is </w:t>
      </w:r>
      <w:r w:rsidRPr="00687594">
        <w:t>necessary</w:t>
      </w:r>
      <w:r w:rsidRPr="001754C2">
        <w:rPr>
          <w:lang w:eastAsia="ko-KR"/>
        </w:rPr>
        <w:t xml:space="preserve"> to analy</w:t>
      </w:r>
      <w:r w:rsidR="00724F95">
        <w:rPr>
          <w:lang w:eastAsia="ko-KR"/>
        </w:rPr>
        <w:t>s</w:t>
      </w:r>
      <w:r w:rsidRPr="001754C2">
        <w:rPr>
          <w:lang w:eastAsia="ko-KR"/>
        </w:rPr>
        <w:t>e the characteristics of intermodulation distortion (IMD) occurring in the transmitter. To analy</w:t>
      </w:r>
      <w:r w:rsidR="00724F95">
        <w:rPr>
          <w:lang w:eastAsia="ko-KR"/>
        </w:rPr>
        <w:t>s</w:t>
      </w:r>
      <w:r w:rsidRPr="001754C2">
        <w:rPr>
          <w:lang w:eastAsia="ko-KR"/>
        </w:rPr>
        <w:t xml:space="preserve">e the inter-modulation characteristics, we use the output signal analysis method for </w:t>
      </w:r>
      <w:r w:rsidR="0023301A" w:rsidRPr="001754C2">
        <w:rPr>
          <w:rFonts w:hint="eastAsia"/>
          <w:lang w:eastAsia="ko-KR"/>
        </w:rPr>
        <w:t>a typical</w:t>
      </w:r>
      <w:r w:rsidRPr="001754C2">
        <w:rPr>
          <w:lang w:eastAsia="ko-KR"/>
        </w:rPr>
        <w:t xml:space="preserve"> two-tone signal input.</w:t>
      </w:r>
    </w:p>
    <w:p w14:paraId="10904233" w14:textId="77777777" w:rsidR="00687594" w:rsidRPr="001754C2" w:rsidRDefault="00687594" w:rsidP="00687594">
      <w:pPr>
        <w:pStyle w:val="BodyText"/>
        <w:rPr>
          <w:lang w:eastAsia="ko-KR"/>
        </w:rPr>
      </w:pPr>
    </w:p>
    <w:p w14:paraId="158E3D0F" w14:textId="2F27DA45" w:rsidR="007F3553" w:rsidRPr="001754C2" w:rsidRDefault="00494914" w:rsidP="007F3553">
      <w:pPr>
        <w:pStyle w:val="Heading2"/>
        <w:numPr>
          <w:ilvl w:val="1"/>
          <w:numId w:val="14"/>
        </w:numPr>
        <w:jc w:val="both"/>
        <w:rPr>
          <w:rFonts w:ascii="Arial" w:eastAsia="Malgun Gothic" w:hAnsi="Arial"/>
        </w:rPr>
      </w:pPr>
      <w:r w:rsidRPr="001754C2">
        <w:rPr>
          <w:rFonts w:ascii="Arial" w:eastAsia="Malgun Gothic" w:hAnsi="Arial" w:hint="eastAsia"/>
          <w:lang w:eastAsia="ko-KR"/>
        </w:rPr>
        <w:t>Two-Tone Analysis</w:t>
      </w:r>
    </w:p>
    <w:p w14:paraId="2AF9C1D8" w14:textId="7E93D807" w:rsidR="005D3870" w:rsidRPr="001754C2" w:rsidRDefault="005D3870" w:rsidP="00687594">
      <w:pPr>
        <w:pStyle w:val="BodyText"/>
        <w:rPr>
          <w:lang w:val="en-US" w:eastAsia="ko-KR"/>
        </w:rPr>
      </w:pPr>
      <w:r w:rsidRPr="001754C2">
        <w:rPr>
          <w:lang w:val="en-US" w:eastAsia="ko-KR"/>
        </w:rPr>
        <w:t xml:space="preserve">As mentioned above, the VDE channel operates on </w:t>
      </w:r>
      <w:proofErr w:type="gramStart"/>
      <w:r w:rsidRPr="001754C2">
        <w:rPr>
          <w:lang w:val="en-US" w:eastAsia="ko-KR"/>
        </w:rPr>
        <w:t>25kHz</w:t>
      </w:r>
      <w:proofErr w:type="gramEnd"/>
      <w:r w:rsidRPr="001754C2">
        <w:rPr>
          <w:lang w:val="en-US" w:eastAsia="ko-KR"/>
        </w:rPr>
        <w:t>, 50kHz</w:t>
      </w:r>
      <w:r w:rsidRPr="001754C2">
        <w:rPr>
          <w:rFonts w:hint="eastAsia"/>
          <w:lang w:val="en-US" w:eastAsia="ko-KR"/>
        </w:rPr>
        <w:t xml:space="preserve"> </w:t>
      </w:r>
      <w:r w:rsidRPr="001754C2">
        <w:rPr>
          <w:lang w:val="en-US" w:eastAsia="ko-KR"/>
        </w:rPr>
        <w:t>and 100kHz channels, where the frequency characteristics of the output IMD are analyzed through a two-tone signal analysis for the 100kHz channel.</w:t>
      </w:r>
    </w:p>
    <w:p w14:paraId="530D7134" w14:textId="4B97A87B" w:rsidR="005A3B6C" w:rsidRPr="00F7421E" w:rsidRDefault="005A3B6C" w:rsidP="00687594">
      <w:pPr>
        <w:pStyle w:val="BodyText"/>
        <w:rPr>
          <w:lang w:val="en-US" w:eastAsia="ko-KR"/>
        </w:rPr>
      </w:pPr>
      <w:r w:rsidRPr="00F7421E">
        <w:rPr>
          <w:rFonts w:hint="eastAsia"/>
          <w:lang w:val="en-US" w:eastAsia="ko-KR"/>
        </w:rPr>
        <w:t xml:space="preserve">For example, comparing </w:t>
      </w:r>
      <w:r w:rsidRPr="00F7421E">
        <w:rPr>
          <w:lang w:val="en-US" w:eastAsia="ko-KR"/>
        </w:rPr>
        <w:t>the two-tone input signal</w:t>
      </w:r>
      <w:r w:rsidRPr="00F7421E">
        <w:rPr>
          <w:rFonts w:hint="eastAsia"/>
          <w:lang w:val="en-US" w:eastAsia="ko-KR"/>
        </w:rPr>
        <w:t xml:space="preserve"> with the output signal from amplifier for </w:t>
      </w:r>
      <w:r w:rsidRPr="00F7421E">
        <w:rPr>
          <w:lang w:val="en-US" w:eastAsia="ko-KR"/>
        </w:rPr>
        <w:t>the VDE1-B channel</w:t>
      </w:r>
      <w:r w:rsidRPr="00F7421E">
        <w:rPr>
          <w:rFonts w:hint="eastAsia"/>
          <w:lang w:val="en-US" w:eastAsia="ko-KR"/>
        </w:rPr>
        <w:t xml:space="preserve">, we can see </w:t>
      </w:r>
      <w:r w:rsidR="00F7421E" w:rsidRPr="00F7421E">
        <w:rPr>
          <w:lang w:val="en-US" w:eastAsia="ko-KR"/>
        </w:rPr>
        <w:t>the IMD component</w:t>
      </w:r>
      <w:r w:rsidR="00F7421E">
        <w:rPr>
          <w:rFonts w:hint="eastAsia"/>
          <w:lang w:val="en-US" w:eastAsia="ko-KR"/>
        </w:rPr>
        <w:t>s</w:t>
      </w:r>
      <w:r w:rsidR="00F7421E" w:rsidRPr="00F7421E">
        <w:rPr>
          <w:lang w:val="en-US" w:eastAsia="ko-KR"/>
        </w:rPr>
        <w:t xml:space="preserve"> at the frequency separated by the left and right channel bandwidth of the input signal</w:t>
      </w:r>
      <w:r w:rsidR="00F7421E" w:rsidRPr="00F7421E">
        <w:rPr>
          <w:rFonts w:hint="eastAsia"/>
          <w:lang w:val="en-US" w:eastAsia="ko-KR"/>
        </w:rPr>
        <w:t>.</w:t>
      </w:r>
    </w:p>
    <w:p w14:paraId="28EAC891" w14:textId="77777777" w:rsidR="0015294E" w:rsidRPr="001754C2" w:rsidRDefault="0015294E" w:rsidP="007F3553">
      <w:pPr>
        <w:pStyle w:val="BodyText"/>
        <w:rPr>
          <w:rFonts w:ascii="Arial" w:eastAsia="Malgun Gothic" w:hAnsi="Arial"/>
          <w:lang w:eastAsia="ko-KR"/>
        </w:rPr>
      </w:pPr>
    </w:p>
    <w:p w14:paraId="72C6FF30" w14:textId="77777777" w:rsidR="00687594" w:rsidRDefault="00A702A7" w:rsidP="00687594">
      <w:pPr>
        <w:pStyle w:val="BodyText"/>
        <w:keepNext/>
        <w:jc w:val="center"/>
      </w:pPr>
      <w:r w:rsidRPr="001754C2">
        <w:rPr>
          <w:rFonts w:ascii="Arial" w:eastAsia="Malgun Gothic" w:hAnsi="Arial"/>
          <w:noProof/>
          <w:lang w:val="en-IE" w:eastAsia="en-IE"/>
        </w:rPr>
        <w:drawing>
          <wp:inline distT="0" distB="0" distL="0" distR="0" wp14:anchorId="358F75B4" wp14:editId="1AD3FA45">
            <wp:extent cx="5756744" cy="1216213"/>
            <wp:effectExtent l="19050" t="19050" r="15875" b="22225"/>
            <wp:docPr id="47" name="그림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752" cy="1215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738CDF8" w14:textId="7EEE9D02" w:rsidR="00687594" w:rsidRDefault="00687594" w:rsidP="00687594">
      <w:pPr>
        <w:pStyle w:val="Caption"/>
        <w:jc w:val="center"/>
      </w:pPr>
      <w:r>
        <w:t xml:space="preserve">Figure </w:t>
      </w:r>
      <w:r w:rsidR="00B273CB">
        <w:fldChar w:fldCharType="begin"/>
      </w:r>
      <w:r w:rsidR="00B273CB">
        <w:instrText xml:space="preserve"> SEQ Figure \* ARABIC </w:instrText>
      </w:r>
      <w:r w:rsidR="00B273CB">
        <w:fldChar w:fldCharType="separate"/>
      </w:r>
      <w:r w:rsidR="00612DEC">
        <w:rPr>
          <w:noProof/>
        </w:rPr>
        <w:t>3</w:t>
      </w:r>
      <w:r w:rsidR="00B273CB">
        <w:rPr>
          <w:noProof/>
        </w:rPr>
        <w:fldChar w:fldCharType="end"/>
      </w:r>
      <w:r>
        <w:t xml:space="preserve">. </w:t>
      </w:r>
      <w:r w:rsidRPr="00BC10C1">
        <w:t xml:space="preserve">VDE </w:t>
      </w:r>
      <w:proofErr w:type="gramStart"/>
      <w:r w:rsidRPr="00BC10C1">
        <w:t>25kHz</w:t>
      </w:r>
      <w:proofErr w:type="gramEnd"/>
      <w:r w:rsidRPr="00BC10C1">
        <w:t xml:space="preserve"> Channel Two-tone analysis</w:t>
      </w:r>
    </w:p>
    <w:p w14:paraId="00B62CB9" w14:textId="230A5568" w:rsidR="00353864" w:rsidRPr="001754C2" w:rsidRDefault="00353864" w:rsidP="003D17A1">
      <w:pPr>
        <w:pStyle w:val="BodyText"/>
        <w:rPr>
          <w:rFonts w:ascii="Arial" w:eastAsia="Malgun Gothic" w:hAnsi="Arial"/>
          <w:lang w:eastAsia="ko-KR"/>
        </w:rPr>
      </w:pPr>
    </w:p>
    <w:p w14:paraId="764D00E0" w14:textId="3907D582" w:rsidR="00435261" w:rsidRPr="00687594" w:rsidRDefault="001754C2" w:rsidP="00687594">
      <w:pPr>
        <w:pStyle w:val="BodyText"/>
      </w:pPr>
      <w:r w:rsidRPr="00687594">
        <w:t xml:space="preserve">As a result of the above two-tone signal analysis, the IMD output characteristic by the amplifier has the following characteristics for </w:t>
      </w:r>
      <w:r w:rsidR="00810562" w:rsidRPr="00687594">
        <w:rPr>
          <w:rFonts w:hint="eastAsia"/>
        </w:rPr>
        <w:t>the</w:t>
      </w:r>
      <w:r w:rsidRPr="00687594">
        <w:t xml:space="preserve"> signal having a channel bandwidth of 25 kHz</w:t>
      </w:r>
      <w:r w:rsidRPr="00687594">
        <w:rPr>
          <w:rFonts w:hint="eastAsia"/>
        </w:rPr>
        <w:t>.</w:t>
      </w:r>
    </w:p>
    <w:p w14:paraId="0D9744D8" w14:textId="77777777" w:rsidR="004523C3" w:rsidRPr="001754C2" w:rsidRDefault="004523C3" w:rsidP="00612DEC">
      <w:pPr>
        <w:pStyle w:val="BodyText"/>
        <w:jc w:val="center"/>
        <w:rPr>
          <w:lang w:eastAsia="ko-KR"/>
        </w:rPr>
      </w:pPr>
    </w:p>
    <w:p w14:paraId="17864787" w14:textId="68A58788" w:rsidR="00A52131" w:rsidRPr="001754C2" w:rsidRDefault="00A52131" w:rsidP="00724F95">
      <w:pPr>
        <w:pStyle w:val="Caption"/>
        <w:jc w:val="center"/>
        <w:rPr>
          <w:rFonts w:eastAsia="Malgun Gothic"/>
          <w:lang w:eastAsia="ko-KR"/>
        </w:rPr>
      </w:pPr>
      <w:r w:rsidRPr="001754C2">
        <w:object w:dxaOrig="12564" w:dyaOrig="2477" w14:anchorId="345B89D6">
          <v:shape id="_x0000_i1027" type="#_x0000_t75" style="width:482.65pt;height:95.25pt" o:ole="">
            <v:imagedata r:id="rId13" o:title=""/>
          </v:shape>
          <o:OLEObject Type="Embed" ProgID="Visio.Drawing.11" ShapeID="_x0000_i1027" DrawAspect="Content" ObjectID="_1565770071" r:id="rId14"/>
        </w:object>
      </w:r>
      <w:r w:rsidR="00687594">
        <w:t xml:space="preserve">Figure </w:t>
      </w:r>
      <w:r w:rsidR="00B273CB">
        <w:fldChar w:fldCharType="begin"/>
      </w:r>
      <w:r w:rsidR="00B273CB">
        <w:instrText xml:space="preserve"> SEQ Figure \* ARABIC </w:instrText>
      </w:r>
      <w:r w:rsidR="00B273CB">
        <w:fldChar w:fldCharType="separate"/>
      </w:r>
      <w:r w:rsidR="00612DEC">
        <w:rPr>
          <w:noProof/>
        </w:rPr>
        <w:t>4</w:t>
      </w:r>
      <w:r w:rsidR="00B273CB">
        <w:rPr>
          <w:noProof/>
        </w:rPr>
        <w:fldChar w:fldCharType="end"/>
      </w:r>
      <w:r w:rsidR="00687594">
        <w:t xml:space="preserve">. </w:t>
      </w:r>
      <w:r w:rsidR="00687594" w:rsidRPr="00FF6CBA">
        <w:t xml:space="preserve">VDE </w:t>
      </w:r>
      <w:proofErr w:type="gramStart"/>
      <w:r w:rsidR="00687594" w:rsidRPr="00FF6CBA">
        <w:t>25kHz</w:t>
      </w:r>
      <w:proofErr w:type="gramEnd"/>
      <w:r w:rsidR="00687594" w:rsidRPr="00FF6CBA">
        <w:t xml:space="preserve"> Channel Bandwidth IMD analysis</w:t>
      </w:r>
    </w:p>
    <w:p w14:paraId="016FE3E0" w14:textId="77777777" w:rsidR="003D17A1" w:rsidRPr="001754C2" w:rsidRDefault="003D17A1" w:rsidP="007F3553">
      <w:pPr>
        <w:pStyle w:val="BodyText"/>
        <w:rPr>
          <w:rFonts w:ascii="Arial" w:eastAsia="Malgun Gothic" w:hAnsi="Arial"/>
          <w:lang w:eastAsia="ko-KR"/>
        </w:rPr>
      </w:pPr>
    </w:p>
    <w:p w14:paraId="3F2CE076" w14:textId="7DC08FCD" w:rsidR="009F255C" w:rsidRPr="00687594" w:rsidRDefault="009F255C" w:rsidP="00687594">
      <w:pPr>
        <w:pStyle w:val="BodyText"/>
      </w:pPr>
      <w:r w:rsidRPr="00687594">
        <w:t>The output IMD characteristic of a signal with a channel bandwidth of 25 kHz appears as shown above.</w:t>
      </w:r>
      <w:r w:rsidRPr="00687594">
        <w:rPr>
          <w:rFonts w:hint="eastAsia"/>
        </w:rPr>
        <w:t xml:space="preserve"> </w:t>
      </w:r>
      <w:r w:rsidR="00810562" w:rsidRPr="00687594">
        <w:rPr>
          <w:rFonts w:hint="eastAsia"/>
        </w:rPr>
        <w:t>So w</w:t>
      </w:r>
      <w:r w:rsidRPr="00687594">
        <w:t>e conclude that some of the output IMD components should be less than -60dBc by overlapping the maximum adjacent power levels per VDE channel in Figure 2 and the output IMD graph in Figure 4.</w:t>
      </w:r>
    </w:p>
    <w:p w14:paraId="420FEAC4" w14:textId="311BB081" w:rsidR="003D17A1" w:rsidRPr="00687594" w:rsidRDefault="003D17A1" w:rsidP="00687594">
      <w:pPr>
        <w:pStyle w:val="BodyText"/>
      </w:pPr>
    </w:p>
    <w:p w14:paraId="6188E05A" w14:textId="77777777" w:rsidR="00687594" w:rsidRPr="00687594" w:rsidRDefault="0060241E" w:rsidP="00687594">
      <w:pPr>
        <w:pStyle w:val="BodyText"/>
      </w:pPr>
      <w:r w:rsidRPr="00687594">
        <w:object w:dxaOrig="13527" w:dyaOrig="5847" w14:anchorId="23D1E1B0">
          <v:shape id="_x0000_i1028" type="#_x0000_t75" style="width:481.5pt;height:208.9pt" o:ole="">
            <v:imagedata r:id="rId15" o:title=""/>
          </v:shape>
          <o:OLEObject Type="Embed" ProgID="Visio.Drawing.11" ShapeID="_x0000_i1028" DrawAspect="Content" ObjectID="_1565770072" r:id="rId16"/>
        </w:object>
      </w:r>
    </w:p>
    <w:p w14:paraId="2341AD3C" w14:textId="65E7CD4B" w:rsidR="006C3402" w:rsidRPr="00687594" w:rsidRDefault="00687594" w:rsidP="00687594">
      <w:pPr>
        <w:pStyle w:val="Caption"/>
        <w:jc w:val="center"/>
      </w:pPr>
      <w:r>
        <w:t xml:space="preserve">Figure </w:t>
      </w:r>
      <w:r w:rsidR="00B273CB">
        <w:fldChar w:fldCharType="begin"/>
      </w:r>
      <w:r w:rsidR="00B273CB">
        <w:instrText xml:space="preserve"> SEQ Figure \* ARABIC </w:instrText>
      </w:r>
      <w:r w:rsidR="00B273CB">
        <w:fldChar w:fldCharType="separate"/>
      </w:r>
      <w:r w:rsidR="00612DEC">
        <w:rPr>
          <w:noProof/>
        </w:rPr>
        <w:t>5</w:t>
      </w:r>
      <w:r w:rsidR="00B273CB">
        <w:rPr>
          <w:noProof/>
        </w:rPr>
        <w:fldChar w:fldCharType="end"/>
      </w:r>
      <w:r>
        <w:t xml:space="preserve">. </w:t>
      </w:r>
      <w:r w:rsidRPr="00DB7DCE">
        <w:t>Spectrum Mask VS IMD analysis result</w:t>
      </w:r>
    </w:p>
    <w:p w14:paraId="324F65B5" w14:textId="62E32D0B" w:rsidR="00F01C02" w:rsidRPr="001754C2" w:rsidRDefault="00F01C02" w:rsidP="003D17A1">
      <w:pPr>
        <w:pStyle w:val="Caption"/>
        <w:rPr>
          <w:rFonts w:eastAsia="Malgun Gothic"/>
          <w:lang w:eastAsia="ko-KR"/>
        </w:rPr>
      </w:pPr>
    </w:p>
    <w:p w14:paraId="7CB967D8" w14:textId="43AE7353" w:rsidR="004523C3" w:rsidRPr="001754C2" w:rsidRDefault="00F01C02" w:rsidP="007F3553">
      <w:pPr>
        <w:pStyle w:val="Heading2"/>
        <w:numPr>
          <w:ilvl w:val="1"/>
          <w:numId w:val="14"/>
        </w:numPr>
        <w:jc w:val="both"/>
        <w:rPr>
          <w:rFonts w:ascii="Arial" w:eastAsia="Malgun Gothic" w:hAnsi="Arial"/>
        </w:rPr>
      </w:pPr>
      <w:r w:rsidRPr="001754C2">
        <w:rPr>
          <w:rFonts w:ascii="Arial" w:eastAsia="Malgun Gothic" w:hAnsi="Arial" w:hint="eastAsia"/>
          <w:lang w:eastAsia="ko-KR"/>
        </w:rPr>
        <w:t xml:space="preserve"> </w:t>
      </w:r>
      <w:r w:rsidR="00CD1882" w:rsidRPr="001754C2">
        <w:rPr>
          <w:rFonts w:ascii="Arial" w:eastAsia="Malgun Gothic" w:hAnsi="Arial" w:hint="eastAsia"/>
          <w:lang w:eastAsia="ko-KR"/>
        </w:rPr>
        <w:t>Spectrum Analysis</w:t>
      </w:r>
    </w:p>
    <w:p w14:paraId="283219DB" w14:textId="314D4E44" w:rsidR="00FF1C0D" w:rsidRPr="00612DEC" w:rsidRDefault="00FF1C0D" w:rsidP="00612DEC">
      <w:pPr>
        <w:pStyle w:val="BodyText"/>
      </w:pPr>
      <w:r w:rsidRPr="00612DEC">
        <w:t>Here we simulate the modulation scheme of the VDE signal defined in ITU-R M.2092 and the spectral waveform of the signal output from the modem according to</w:t>
      </w:r>
      <w:r w:rsidR="00A25335" w:rsidRPr="00612DEC">
        <w:rPr>
          <w:rFonts w:hint="eastAsia"/>
        </w:rPr>
        <w:t xml:space="preserve"> </w:t>
      </w:r>
      <w:r w:rsidRPr="00612DEC">
        <w:t>the s</w:t>
      </w:r>
      <w:r w:rsidR="00A25335" w:rsidRPr="00612DEC">
        <w:rPr>
          <w:rFonts w:hint="eastAsia"/>
        </w:rPr>
        <w:t>y</w:t>
      </w:r>
      <w:r w:rsidRPr="00612DEC">
        <w:t>mbol rate</w:t>
      </w:r>
      <w:r w:rsidRPr="00612DEC">
        <w:rPr>
          <w:rFonts w:hint="eastAsia"/>
        </w:rPr>
        <w:t>.</w:t>
      </w:r>
    </w:p>
    <w:p w14:paraId="7B04FE08" w14:textId="55F1A104" w:rsidR="00FF1C0D" w:rsidRPr="00612DEC" w:rsidRDefault="00FF1C0D" w:rsidP="00612DEC">
      <w:pPr>
        <w:pStyle w:val="BodyText"/>
      </w:pPr>
      <w:r w:rsidRPr="00612DEC">
        <w:t>A</w:t>
      </w:r>
      <w:r w:rsidRPr="00612DEC">
        <w:rPr>
          <w:rFonts w:hint="eastAsia"/>
        </w:rPr>
        <w:t xml:space="preserve">nd </w:t>
      </w:r>
      <w:r w:rsidR="00BF52BD" w:rsidRPr="00612DEC">
        <w:rPr>
          <w:rFonts w:hint="eastAsia"/>
        </w:rPr>
        <w:t xml:space="preserve">as </w:t>
      </w:r>
      <w:r w:rsidR="00BF52BD" w:rsidRPr="00612DEC">
        <w:t>this signal passes through the RF Transmitter</w:t>
      </w:r>
      <w:r w:rsidR="00BF52BD" w:rsidRPr="00612DEC">
        <w:rPr>
          <w:rFonts w:hint="eastAsia"/>
        </w:rPr>
        <w:t>,</w:t>
      </w:r>
      <w:r w:rsidRPr="00612DEC">
        <w:rPr>
          <w:rFonts w:hint="eastAsia"/>
        </w:rPr>
        <w:t xml:space="preserve"> t</w:t>
      </w:r>
      <w:r w:rsidRPr="00612DEC">
        <w:t xml:space="preserve">he output spectrum waveform </w:t>
      </w:r>
      <w:r w:rsidR="00BF52BD" w:rsidRPr="00612DEC">
        <w:rPr>
          <w:rFonts w:hint="eastAsia"/>
        </w:rPr>
        <w:t xml:space="preserve">from the </w:t>
      </w:r>
      <w:r w:rsidR="00BF52BD" w:rsidRPr="00612DEC">
        <w:t>RF Transmitter</w:t>
      </w:r>
      <w:r w:rsidR="00BF52BD" w:rsidRPr="00612DEC">
        <w:rPr>
          <w:rFonts w:hint="eastAsia"/>
        </w:rPr>
        <w:t xml:space="preserve"> </w:t>
      </w:r>
      <w:r w:rsidRPr="00612DEC">
        <w:t>can derive the structure and performance specifications of the RF transmitter to meet the Spectrum Mask Specification defined in ITU-R 2092.</w:t>
      </w:r>
    </w:p>
    <w:p w14:paraId="62D424C5" w14:textId="17A497E3" w:rsidR="00EC1DCC" w:rsidRPr="00612DEC" w:rsidRDefault="00EC1DCC" w:rsidP="00612DEC">
      <w:pPr>
        <w:pStyle w:val="BodyText"/>
      </w:pPr>
      <w:r w:rsidRPr="00612DEC">
        <w:t xml:space="preserve">The modulation scheme of the VDE signal and the symbol rate are summarized in the table </w:t>
      </w:r>
      <w:r w:rsidR="007A2841">
        <w:t>2 as below.</w:t>
      </w:r>
    </w:p>
    <w:p w14:paraId="21FEBA90" w14:textId="77777777" w:rsidR="00AA7845" w:rsidRPr="001754C2" w:rsidRDefault="00AA7845" w:rsidP="00AA7845">
      <w:pPr>
        <w:pStyle w:val="BodyText"/>
        <w:ind w:firstLine="90"/>
        <w:rPr>
          <w:rFonts w:ascii="Arial" w:eastAsia="Malgun Gothic" w:hAnsi="Arial"/>
          <w:lang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5"/>
        <w:gridCol w:w="2416"/>
        <w:gridCol w:w="2404"/>
        <w:gridCol w:w="2393"/>
      </w:tblGrid>
      <w:tr w:rsidR="00AA7845" w:rsidRPr="001754C2" w14:paraId="3E4CC2D5" w14:textId="77777777" w:rsidTr="00612DEC">
        <w:tc>
          <w:tcPr>
            <w:tcW w:w="2415" w:type="dxa"/>
            <w:vAlign w:val="center"/>
          </w:tcPr>
          <w:p w14:paraId="1E6B583B" w14:textId="04D7B74D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Channel Bandwidth</w:t>
            </w:r>
          </w:p>
        </w:tc>
        <w:tc>
          <w:tcPr>
            <w:tcW w:w="2416" w:type="dxa"/>
            <w:vAlign w:val="center"/>
          </w:tcPr>
          <w:p w14:paraId="17249AD0" w14:textId="0C237B19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Modulation</w:t>
            </w:r>
          </w:p>
        </w:tc>
        <w:tc>
          <w:tcPr>
            <w:tcW w:w="2404" w:type="dxa"/>
            <w:vAlign w:val="center"/>
          </w:tcPr>
          <w:p w14:paraId="7253ED0F" w14:textId="7F31EAF6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Symbol Rate</w:t>
            </w:r>
          </w:p>
        </w:tc>
        <w:tc>
          <w:tcPr>
            <w:tcW w:w="2393" w:type="dxa"/>
            <w:vAlign w:val="center"/>
          </w:tcPr>
          <w:p w14:paraId="18BA4DF1" w14:textId="4D7C95FC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Roll-off</w:t>
            </w:r>
          </w:p>
        </w:tc>
      </w:tr>
      <w:tr w:rsidR="00AA7845" w:rsidRPr="001754C2" w14:paraId="60390A77" w14:textId="77777777" w:rsidTr="00612DEC">
        <w:tc>
          <w:tcPr>
            <w:tcW w:w="2415" w:type="dxa"/>
            <w:vAlign w:val="center"/>
          </w:tcPr>
          <w:p w14:paraId="21DB4CA2" w14:textId="391140C9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25kHz</w:t>
            </w:r>
          </w:p>
        </w:tc>
        <w:tc>
          <w:tcPr>
            <w:tcW w:w="2416" w:type="dxa"/>
            <w:vAlign w:val="center"/>
          </w:tcPr>
          <w:p w14:paraId="7517A1DD" w14:textId="1065CA15" w:rsidR="00AA7845" w:rsidRPr="001754C2" w:rsidRDefault="00155C9F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PI/4</w:t>
            </w:r>
            <w:r w:rsidR="00AA7845" w:rsidRPr="001754C2">
              <w:rPr>
                <w:rFonts w:ascii="Arial" w:eastAsia="Malgun Gothic" w:hAnsi="Arial" w:hint="eastAsia"/>
                <w:lang w:eastAsia="ko-KR"/>
              </w:rPr>
              <w:t>QPSK</w:t>
            </w:r>
          </w:p>
        </w:tc>
        <w:tc>
          <w:tcPr>
            <w:tcW w:w="2404" w:type="dxa"/>
            <w:vAlign w:val="center"/>
          </w:tcPr>
          <w:p w14:paraId="26A99246" w14:textId="6E2FEEC1" w:rsidR="00AA7845" w:rsidRPr="001754C2" w:rsidRDefault="00AA7845" w:rsidP="00724F95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 xml:space="preserve">19.2 </w:t>
            </w:r>
            <w:proofErr w:type="spellStart"/>
            <w:r w:rsidRPr="001754C2">
              <w:rPr>
                <w:rFonts w:ascii="Arial" w:eastAsia="Malgun Gothic" w:hAnsi="Arial" w:hint="eastAsia"/>
                <w:lang w:eastAsia="ko-KR"/>
              </w:rPr>
              <w:t>k</w:t>
            </w:r>
            <w:r w:rsidR="00311222">
              <w:rPr>
                <w:rFonts w:ascii="Arial" w:eastAsia="Malgun Gothic" w:hAnsi="Arial" w:hint="eastAsia"/>
                <w:lang w:eastAsia="ko-KR"/>
              </w:rPr>
              <w:t>s</w:t>
            </w:r>
            <w:r w:rsidRPr="001754C2">
              <w:rPr>
                <w:rFonts w:ascii="Arial" w:eastAsia="Malgun Gothic" w:hAnsi="Arial" w:hint="eastAsia"/>
                <w:lang w:eastAsia="ko-KR"/>
              </w:rPr>
              <w:t>ps</w:t>
            </w:r>
            <w:proofErr w:type="spellEnd"/>
          </w:p>
        </w:tc>
        <w:tc>
          <w:tcPr>
            <w:tcW w:w="2393" w:type="dxa"/>
            <w:vMerge w:val="restart"/>
            <w:vAlign w:val="center"/>
          </w:tcPr>
          <w:p w14:paraId="525D4BFD" w14:textId="13C3F91C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0.3</w:t>
            </w:r>
          </w:p>
        </w:tc>
      </w:tr>
      <w:tr w:rsidR="00AA7845" w:rsidRPr="001754C2" w14:paraId="0FCD6C1F" w14:textId="77777777" w:rsidTr="00612DEC">
        <w:tc>
          <w:tcPr>
            <w:tcW w:w="2415" w:type="dxa"/>
            <w:vAlign w:val="center"/>
          </w:tcPr>
          <w:p w14:paraId="0753641B" w14:textId="7B541CC1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50kHz</w:t>
            </w:r>
          </w:p>
        </w:tc>
        <w:tc>
          <w:tcPr>
            <w:tcW w:w="2416" w:type="dxa"/>
            <w:vAlign w:val="center"/>
          </w:tcPr>
          <w:p w14:paraId="2534105D" w14:textId="786C5EFD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8PSK</w:t>
            </w:r>
          </w:p>
        </w:tc>
        <w:tc>
          <w:tcPr>
            <w:tcW w:w="2404" w:type="dxa"/>
            <w:vAlign w:val="center"/>
          </w:tcPr>
          <w:p w14:paraId="59648E3C" w14:textId="25BFE848" w:rsidR="00AA7845" w:rsidRPr="001754C2" w:rsidRDefault="00AA7845" w:rsidP="00724F95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 xml:space="preserve">38.4 </w:t>
            </w:r>
            <w:proofErr w:type="spellStart"/>
            <w:r w:rsidRPr="001754C2">
              <w:rPr>
                <w:rFonts w:ascii="Arial" w:eastAsia="Malgun Gothic" w:hAnsi="Arial" w:hint="eastAsia"/>
                <w:lang w:eastAsia="ko-KR"/>
              </w:rPr>
              <w:t>k</w:t>
            </w:r>
            <w:r w:rsidR="00311222">
              <w:rPr>
                <w:rFonts w:ascii="Arial" w:eastAsia="Malgun Gothic" w:hAnsi="Arial"/>
                <w:lang w:eastAsia="ko-KR"/>
              </w:rPr>
              <w:t>s</w:t>
            </w:r>
            <w:r w:rsidRPr="001754C2">
              <w:rPr>
                <w:rFonts w:ascii="Arial" w:eastAsia="Malgun Gothic" w:hAnsi="Arial" w:hint="eastAsia"/>
                <w:lang w:eastAsia="ko-KR"/>
              </w:rPr>
              <w:t>ps</w:t>
            </w:r>
            <w:proofErr w:type="spellEnd"/>
          </w:p>
        </w:tc>
        <w:tc>
          <w:tcPr>
            <w:tcW w:w="2393" w:type="dxa"/>
            <w:vMerge/>
            <w:vAlign w:val="center"/>
          </w:tcPr>
          <w:p w14:paraId="01B17475" w14:textId="77777777" w:rsidR="00AA7845" w:rsidRPr="001754C2" w:rsidRDefault="00AA7845" w:rsidP="00AA7845">
            <w:pPr>
              <w:pStyle w:val="BodyText"/>
              <w:rPr>
                <w:rFonts w:ascii="Arial" w:eastAsia="Malgun Gothic" w:hAnsi="Arial"/>
                <w:lang w:eastAsia="ko-KR"/>
              </w:rPr>
            </w:pPr>
          </w:p>
        </w:tc>
      </w:tr>
      <w:tr w:rsidR="00AA7845" w:rsidRPr="001754C2" w14:paraId="0DCEA979" w14:textId="77777777" w:rsidTr="00612DEC">
        <w:tc>
          <w:tcPr>
            <w:tcW w:w="2415" w:type="dxa"/>
            <w:vAlign w:val="center"/>
          </w:tcPr>
          <w:p w14:paraId="56B99CE8" w14:textId="5BA21933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100kHz</w:t>
            </w:r>
          </w:p>
        </w:tc>
        <w:tc>
          <w:tcPr>
            <w:tcW w:w="2416" w:type="dxa"/>
            <w:vAlign w:val="center"/>
          </w:tcPr>
          <w:p w14:paraId="29C5513D" w14:textId="6D830E6A" w:rsidR="00AA7845" w:rsidRPr="001754C2" w:rsidRDefault="00AA7845" w:rsidP="00E42810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>16QAM</w:t>
            </w:r>
          </w:p>
        </w:tc>
        <w:tc>
          <w:tcPr>
            <w:tcW w:w="2404" w:type="dxa"/>
            <w:vAlign w:val="center"/>
          </w:tcPr>
          <w:p w14:paraId="11CA6CA7" w14:textId="5D5B198B" w:rsidR="00AA7845" w:rsidRPr="001754C2" w:rsidRDefault="00AA7845" w:rsidP="00724F95">
            <w:pPr>
              <w:pStyle w:val="BodyText"/>
              <w:jc w:val="center"/>
              <w:rPr>
                <w:rFonts w:ascii="Arial" w:eastAsia="Malgun Gothic" w:hAnsi="Arial"/>
                <w:lang w:eastAsia="ko-KR"/>
              </w:rPr>
            </w:pPr>
            <w:r w:rsidRPr="001754C2">
              <w:rPr>
                <w:rFonts w:ascii="Arial" w:eastAsia="Malgun Gothic" w:hAnsi="Arial" w:hint="eastAsia"/>
                <w:lang w:eastAsia="ko-KR"/>
              </w:rPr>
              <w:t xml:space="preserve">76.8 </w:t>
            </w:r>
            <w:proofErr w:type="spellStart"/>
            <w:r w:rsidRPr="001754C2">
              <w:rPr>
                <w:rFonts w:ascii="Arial" w:eastAsia="Malgun Gothic" w:hAnsi="Arial" w:hint="eastAsia"/>
                <w:lang w:eastAsia="ko-KR"/>
              </w:rPr>
              <w:t>k</w:t>
            </w:r>
            <w:r w:rsidR="00311222">
              <w:rPr>
                <w:rFonts w:ascii="Arial" w:eastAsia="Malgun Gothic" w:hAnsi="Arial"/>
                <w:lang w:eastAsia="ko-KR"/>
              </w:rPr>
              <w:t>s</w:t>
            </w:r>
            <w:r w:rsidRPr="001754C2">
              <w:rPr>
                <w:rFonts w:ascii="Arial" w:eastAsia="Malgun Gothic" w:hAnsi="Arial" w:hint="eastAsia"/>
                <w:lang w:eastAsia="ko-KR"/>
              </w:rPr>
              <w:t>ps</w:t>
            </w:r>
            <w:proofErr w:type="spellEnd"/>
          </w:p>
        </w:tc>
        <w:tc>
          <w:tcPr>
            <w:tcW w:w="2393" w:type="dxa"/>
            <w:vMerge/>
            <w:vAlign w:val="center"/>
          </w:tcPr>
          <w:p w14:paraId="1DB6EDD4" w14:textId="77777777" w:rsidR="00AA7845" w:rsidRPr="001754C2" w:rsidRDefault="00AA7845" w:rsidP="00612DEC">
            <w:pPr>
              <w:pStyle w:val="BodyText"/>
              <w:keepNext/>
              <w:rPr>
                <w:rFonts w:ascii="Arial" w:eastAsia="Malgun Gothic" w:hAnsi="Arial"/>
                <w:lang w:eastAsia="ko-KR"/>
              </w:rPr>
            </w:pPr>
          </w:p>
        </w:tc>
      </w:tr>
    </w:tbl>
    <w:p w14:paraId="3E37DD11" w14:textId="77777777" w:rsidR="00612DEC" w:rsidRDefault="00612DEC" w:rsidP="00612DEC">
      <w:pPr>
        <w:pStyle w:val="Caption"/>
      </w:pPr>
    </w:p>
    <w:p w14:paraId="4447E51A" w14:textId="2D2C4D77" w:rsidR="00AA7845" w:rsidRDefault="00612DEC" w:rsidP="00612DEC">
      <w:pPr>
        <w:pStyle w:val="Caption"/>
        <w:jc w:val="center"/>
        <w:rPr>
          <w:rFonts w:eastAsia="Malgun Gothic"/>
          <w:lang w:eastAsia="ko-KR"/>
        </w:rPr>
      </w:pPr>
      <w:r>
        <w:t xml:space="preserve">Table </w:t>
      </w:r>
      <w:r w:rsidR="007A2841">
        <w:t>2</w:t>
      </w:r>
      <w:r>
        <w:t xml:space="preserve">. </w:t>
      </w:r>
      <w:r w:rsidRPr="00AB3314">
        <w:t>VDE signal char</w:t>
      </w:r>
      <w:r w:rsidR="00724F95">
        <w:t>a</w:t>
      </w:r>
      <w:r w:rsidRPr="00AB3314">
        <w:t>cteristic</w:t>
      </w:r>
    </w:p>
    <w:p w14:paraId="7DC042B8" w14:textId="77777777" w:rsidR="00724F95" w:rsidRDefault="00724F95" w:rsidP="00612DEC">
      <w:pPr>
        <w:pStyle w:val="BodyText"/>
      </w:pPr>
    </w:p>
    <w:p w14:paraId="0916CC90" w14:textId="2A0AC274" w:rsidR="00EC1DCC" w:rsidRPr="00612DEC" w:rsidRDefault="00EC1DCC" w:rsidP="00612DEC">
      <w:pPr>
        <w:pStyle w:val="BodyText"/>
      </w:pPr>
      <w:r w:rsidRPr="00612DEC">
        <w:t xml:space="preserve">Assuming that the IF frequency output from the modem is 70MHz, </w:t>
      </w:r>
      <w:r w:rsidR="00612DEC" w:rsidRPr="00612DEC">
        <w:t xml:space="preserve">the </w:t>
      </w:r>
      <w:r w:rsidR="00D541F6" w:rsidRPr="00612DEC">
        <w:rPr>
          <w:rFonts w:hint="eastAsia"/>
        </w:rPr>
        <w:t>below is the simulation result of each spectrum.</w:t>
      </w:r>
    </w:p>
    <w:p w14:paraId="0B614962" w14:textId="77777777" w:rsidR="00C222E9" w:rsidRPr="001754C2" w:rsidRDefault="00C222E9" w:rsidP="00AA7845">
      <w:pPr>
        <w:pStyle w:val="BodyText"/>
        <w:ind w:firstLine="90"/>
        <w:rPr>
          <w:rFonts w:ascii="Arial" w:eastAsia="Malgun Gothic" w:hAnsi="Arial"/>
          <w:lang w:eastAsia="ko-KR"/>
        </w:rPr>
      </w:pPr>
    </w:p>
    <w:p w14:paraId="30CFC650" w14:textId="77777777" w:rsidR="00612DEC" w:rsidRPr="00724F95" w:rsidRDefault="00353864" w:rsidP="00724F95">
      <w:pPr>
        <w:pStyle w:val="BodyText"/>
      </w:pPr>
      <w:r w:rsidRPr="00724F95">
        <w:rPr>
          <w:rFonts w:hint="eastAsia"/>
          <w:noProof/>
          <w:lang w:val="en-IE" w:eastAsia="en-IE"/>
        </w:rPr>
        <w:drawing>
          <wp:inline distT="0" distB="0" distL="0" distR="0" wp14:anchorId="0395F126" wp14:editId="3EC7DD49">
            <wp:extent cx="6124669" cy="1785601"/>
            <wp:effectExtent l="0" t="0" r="0" b="571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862" cy="178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7C8A7" w14:textId="420C3851" w:rsidR="00612DEC" w:rsidRDefault="00612DEC" w:rsidP="00612DEC">
      <w:pPr>
        <w:pStyle w:val="Caption"/>
        <w:jc w:val="center"/>
      </w:pPr>
      <w:r>
        <w:t xml:space="preserve">Figure </w:t>
      </w:r>
      <w:r w:rsidR="00B273CB">
        <w:fldChar w:fldCharType="begin"/>
      </w:r>
      <w:r w:rsidR="00B273CB">
        <w:instrText xml:space="preserve"> SEQ Figure \* ARABIC </w:instrText>
      </w:r>
      <w:r w:rsidR="00B273CB">
        <w:fldChar w:fldCharType="separate"/>
      </w:r>
      <w:r>
        <w:rPr>
          <w:noProof/>
        </w:rPr>
        <w:t>6</w:t>
      </w:r>
      <w:r w:rsidR="00B273CB">
        <w:rPr>
          <w:noProof/>
        </w:rPr>
        <w:fldChar w:fldCharType="end"/>
      </w:r>
      <w:r>
        <w:t xml:space="preserve">. </w:t>
      </w:r>
      <w:r w:rsidRPr="00280708">
        <w:t>IF signal Spectrum, (a)</w:t>
      </w:r>
      <w:r w:rsidR="00724F95">
        <w:t xml:space="preserve"> </w:t>
      </w:r>
      <w:proofErr w:type="gramStart"/>
      <w:r w:rsidRPr="00280708">
        <w:t>25kHz</w:t>
      </w:r>
      <w:proofErr w:type="gramEnd"/>
      <w:r w:rsidRPr="00280708">
        <w:t xml:space="preserve"> (b)</w:t>
      </w:r>
      <w:r w:rsidR="00724F95">
        <w:t xml:space="preserve"> </w:t>
      </w:r>
      <w:r w:rsidRPr="00280708">
        <w:t>50kHz (c)</w:t>
      </w:r>
      <w:r w:rsidR="00724F95">
        <w:t xml:space="preserve"> </w:t>
      </w:r>
      <w:r w:rsidRPr="00280708">
        <w:t>100kHz</w:t>
      </w:r>
    </w:p>
    <w:p w14:paraId="08F9451C" w14:textId="77777777" w:rsidR="003D17A1" w:rsidRDefault="003D17A1" w:rsidP="00AA7845">
      <w:pPr>
        <w:pStyle w:val="BodyText"/>
        <w:ind w:firstLine="90"/>
        <w:rPr>
          <w:rFonts w:ascii="Arial" w:eastAsia="Malgun Gothic" w:hAnsi="Arial"/>
          <w:lang w:eastAsia="ko-KR"/>
        </w:rPr>
      </w:pPr>
    </w:p>
    <w:p w14:paraId="66ED19C2" w14:textId="15737098" w:rsidR="00EC1DCC" w:rsidRPr="00EC1DCC" w:rsidRDefault="00EC1DCC" w:rsidP="00612DEC">
      <w:pPr>
        <w:pStyle w:val="BodyText"/>
        <w:rPr>
          <w:color w:val="777777"/>
          <w:sz w:val="20"/>
          <w:szCs w:val="20"/>
          <w:lang w:val="en-US" w:eastAsia="ko-KR"/>
        </w:rPr>
      </w:pPr>
      <w:r w:rsidRPr="00EC1DCC">
        <w:rPr>
          <w:lang w:val="en" w:eastAsia="ko-KR"/>
        </w:rPr>
        <w:t xml:space="preserve">The 70 MHz IF signal output from the modem is up-converted to the </w:t>
      </w:r>
      <w:r>
        <w:rPr>
          <w:rFonts w:hint="eastAsia"/>
          <w:lang w:val="en" w:eastAsia="ko-KR"/>
        </w:rPr>
        <w:t xml:space="preserve">RF </w:t>
      </w:r>
      <w:r w:rsidRPr="00EC1DCC">
        <w:rPr>
          <w:lang w:val="en" w:eastAsia="ko-KR"/>
        </w:rPr>
        <w:t xml:space="preserve">carrier frequency by a general RF transmitter and applied to the antenna as </w:t>
      </w:r>
      <w:r>
        <w:rPr>
          <w:rFonts w:hint="eastAsia"/>
          <w:lang w:val="en" w:eastAsia="ko-KR"/>
        </w:rPr>
        <w:t>shown in figure 7.</w:t>
      </w:r>
      <w:r w:rsidRPr="00EC1DCC">
        <w:rPr>
          <w:lang w:val="en" w:eastAsia="ko-KR"/>
        </w:rPr>
        <w:t xml:space="preserve"> As described above, </w:t>
      </w:r>
      <w:r w:rsidR="008722AE">
        <w:rPr>
          <w:lang w:val="en" w:eastAsia="ko-KR"/>
        </w:rPr>
        <w:t>the</w:t>
      </w:r>
      <w:r w:rsidR="008722AE">
        <w:rPr>
          <w:rFonts w:hint="eastAsia"/>
          <w:lang w:val="en" w:eastAsia="ko-KR"/>
        </w:rPr>
        <w:t xml:space="preserve"> </w:t>
      </w:r>
      <w:r w:rsidRPr="00EC1DCC">
        <w:rPr>
          <w:lang w:val="en" w:eastAsia="ko-KR"/>
        </w:rPr>
        <w:t xml:space="preserve">spurious emissions including IMD components are generated due to nonlinear elements of RF Transmitter. </w:t>
      </w:r>
      <w:r w:rsidR="008722AE">
        <w:rPr>
          <w:rFonts w:hint="eastAsia"/>
          <w:lang w:val="en" w:eastAsia="ko-KR"/>
        </w:rPr>
        <w:t xml:space="preserve">The </w:t>
      </w:r>
      <w:r w:rsidRPr="00EC1DCC">
        <w:rPr>
          <w:lang w:val="en" w:eastAsia="ko-KR"/>
        </w:rPr>
        <w:t xml:space="preserve">IMD components affecting </w:t>
      </w:r>
      <w:r w:rsidR="008722AE">
        <w:rPr>
          <w:rFonts w:hint="eastAsia"/>
          <w:lang w:val="en" w:eastAsia="ko-KR"/>
        </w:rPr>
        <w:t>s</w:t>
      </w:r>
      <w:r w:rsidR="008722AE">
        <w:rPr>
          <w:lang w:val="en" w:eastAsia="ko-KR"/>
        </w:rPr>
        <w:t xml:space="preserve">pectrum </w:t>
      </w:r>
      <w:r w:rsidR="008722AE">
        <w:rPr>
          <w:rFonts w:hint="eastAsia"/>
          <w:lang w:val="en" w:eastAsia="ko-KR"/>
        </w:rPr>
        <w:t>m</w:t>
      </w:r>
      <w:r w:rsidRPr="00EC1DCC">
        <w:rPr>
          <w:lang w:val="en" w:eastAsia="ko-KR"/>
        </w:rPr>
        <w:t>ask specifications can be obtained through simulation</w:t>
      </w:r>
      <w:r w:rsidR="008722AE">
        <w:rPr>
          <w:rFonts w:hint="eastAsia"/>
          <w:lang w:val="en" w:eastAsia="ko-KR"/>
        </w:rPr>
        <w:t>.</w:t>
      </w:r>
    </w:p>
    <w:p w14:paraId="5BEB01DD" w14:textId="77777777" w:rsidR="00B27B04" w:rsidRPr="001754C2" w:rsidRDefault="00B27B04" w:rsidP="00532C68">
      <w:pPr>
        <w:pStyle w:val="BodyText"/>
        <w:ind w:firstLine="90"/>
        <w:jc w:val="center"/>
        <w:rPr>
          <w:rFonts w:ascii="Arial" w:eastAsia="Malgun Gothic" w:hAnsi="Arial"/>
          <w:lang w:eastAsia="ko-KR"/>
        </w:rPr>
      </w:pPr>
      <w:r w:rsidRPr="001754C2">
        <w:rPr>
          <w:rFonts w:ascii="Arial" w:eastAsia="Malgun Gothic" w:hAnsi="Arial"/>
          <w:noProof/>
          <w:lang w:val="en-IE" w:eastAsia="en-IE"/>
        </w:rPr>
        <w:drawing>
          <wp:inline distT="0" distB="0" distL="0" distR="0" wp14:anchorId="058D6F69" wp14:editId="6B70A807">
            <wp:extent cx="3960000" cy="2648972"/>
            <wp:effectExtent l="0" t="0" r="2540" b="0"/>
            <wp:docPr id="46" name="그림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48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16AAFB" w14:textId="1B244658" w:rsidR="00CD1882" w:rsidRPr="001754C2" w:rsidRDefault="00CD1882" w:rsidP="00CD1882">
      <w:pPr>
        <w:pStyle w:val="BodyText"/>
        <w:numPr>
          <w:ilvl w:val="0"/>
          <w:numId w:val="48"/>
        </w:numPr>
        <w:jc w:val="center"/>
        <w:rPr>
          <w:rFonts w:ascii="Arial" w:eastAsia="Malgun Gothic" w:hAnsi="Arial"/>
          <w:lang w:eastAsia="ko-KR"/>
        </w:rPr>
      </w:pPr>
      <w:r w:rsidRPr="001754C2">
        <w:rPr>
          <w:rFonts w:ascii="Arial" w:eastAsia="Malgun Gothic" w:hAnsi="Arial" w:hint="eastAsia"/>
          <w:lang w:eastAsia="ko-KR"/>
        </w:rPr>
        <w:t>Back off = 7dB</w:t>
      </w:r>
    </w:p>
    <w:p w14:paraId="3361F677" w14:textId="61B355B9" w:rsidR="00532C68" w:rsidRPr="001754C2" w:rsidRDefault="00B04BDD" w:rsidP="00532C68">
      <w:pPr>
        <w:pStyle w:val="BodyText"/>
        <w:ind w:firstLine="90"/>
        <w:jc w:val="center"/>
        <w:rPr>
          <w:rFonts w:ascii="Arial" w:eastAsia="Malgun Gothic" w:hAnsi="Arial"/>
          <w:lang w:eastAsia="ko-KR"/>
        </w:rPr>
      </w:pPr>
      <w:r w:rsidRPr="001754C2">
        <w:rPr>
          <w:rFonts w:ascii="Arial" w:eastAsia="Malgun Gothic" w:hAnsi="Arial"/>
          <w:noProof/>
          <w:lang w:val="en-IE" w:eastAsia="en-IE"/>
        </w:rPr>
        <w:drawing>
          <wp:inline distT="0" distB="0" distL="0" distR="0" wp14:anchorId="09A87961" wp14:editId="64C30567">
            <wp:extent cx="3960000" cy="2641329"/>
            <wp:effectExtent l="0" t="0" r="2540" b="6985"/>
            <wp:docPr id="44" name="그림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41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38FFE2" w14:textId="340433C9" w:rsidR="00532C68" w:rsidRPr="001754C2" w:rsidRDefault="00CD1882" w:rsidP="00CD1882">
      <w:pPr>
        <w:pStyle w:val="BodyText"/>
        <w:numPr>
          <w:ilvl w:val="0"/>
          <w:numId w:val="48"/>
        </w:numPr>
        <w:jc w:val="center"/>
        <w:rPr>
          <w:rFonts w:ascii="Arial" w:eastAsia="Malgun Gothic" w:hAnsi="Arial"/>
          <w:lang w:eastAsia="ko-KR"/>
        </w:rPr>
      </w:pPr>
      <w:r w:rsidRPr="001754C2">
        <w:rPr>
          <w:rFonts w:ascii="Arial" w:eastAsia="Malgun Gothic" w:hAnsi="Arial" w:hint="eastAsia"/>
          <w:lang w:eastAsia="ko-KR"/>
        </w:rPr>
        <w:t>Back off = 9dB</w:t>
      </w:r>
    </w:p>
    <w:p w14:paraId="143F1CCF" w14:textId="77777777" w:rsidR="00612DEC" w:rsidRDefault="00B04BDD" w:rsidP="00612DEC">
      <w:pPr>
        <w:pStyle w:val="BodyText"/>
        <w:keepNext/>
        <w:ind w:firstLine="90"/>
        <w:jc w:val="center"/>
      </w:pPr>
      <w:r w:rsidRPr="001754C2">
        <w:rPr>
          <w:rFonts w:ascii="Arial" w:eastAsia="Malgun Gothic" w:hAnsi="Arial"/>
          <w:noProof/>
          <w:lang w:val="en-IE" w:eastAsia="en-IE"/>
        </w:rPr>
        <w:lastRenderedPageBreak/>
        <w:drawing>
          <wp:inline distT="0" distB="0" distL="0" distR="0" wp14:anchorId="23A2852B" wp14:editId="57EBE3A9">
            <wp:extent cx="3960000" cy="2660438"/>
            <wp:effectExtent l="0" t="0" r="2540" b="6985"/>
            <wp:docPr id="45" name="그림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604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15A811" w14:textId="77777777" w:rsidR="00CD1882" w:rsidRDefault="00CD1882" w:rsidP="00CD1882">
      <w:pPr>
        <w:pStyle w:val="BodyText"/>
        <w:numPr>
          <w:ilvl w:val="0"/>
          <w:numId w:val="48"/>
        </w:numPr>
        <w:jc w:val="center"/>
        <w:rPr>
          <w:rFonts w:ascii="Arial" w:eastAsia="Malgun Gothic" w:hAnsi="Arial"/>
          <w:lang w:eastAsia="ko-KR"/>
        </w:rPr>
      </w:pPr>
      <w:r w:rsidRPr="001754C2">
        <w:rPr>
          <w:rFonts w:ascii="Arial" w:eastAsia="Malgun Gothic" w:hAnsi="Arial" w:hint="eastAsia"/>
          <w:lang w:eastAsia="ko-KR"/>
        </w:rPr>
        <w:t>Back off = 12dB</w:t>
      </w:r>
    </w:p>
    <w:p w14:paraId="1AA88663" w14:textId="77777777" w:rsidR="00612DEC" w:rsidRPr="001754C2" w:rsidRDefault="00612DEC" w:rsidP="00612DEC">
      <w:pPr>
        <w:pStyle w:val="Caption"/>
        <w:jc w:val="center"/>
        <w:rPr>
          <w:rFonts w:eastAsia="Malgun Gothic"/>
          <w:lang w:eastAsia="ko-KR"/>
        </w:rPr>
      </w:pPr>
      <w:r>
        <w:t xml:space="preserve">Figure </w:t>
      </w:r>
      <w:r w:rsidR="00B273CB">
        <w:fldChar w:fldCharType="begin"/>
      </w:r>
      <w:r w:rsidR="00B273CB">
        <w:instrText xml:space="preserve"> SEQ Figure \* ARABIC </w:instrText>
      </w:r>
      <w:r w:rsidR="00B273CB">
        <w:fldChar w:fldCharType="separate"/>
      </w:r>
      <w:r>
        <w:rPr>
          <w:noProof/>
        </w:rPr>
        <w:t>7</w:t>
      </w:r>
      <w:r w:rsidR="00B273CB">
        <w:rPr>
          <w:noProof/>
        </w:rPr>
        <w:fldChar w:fldCharType="end"/>
      </w:r>
      <w:r>
        <w:t xml:space="preserve">. </w:t>
      </w:r>
      <w:r w:rsidRPr="004A7008">
        <w:t xml:space="preserve">The output spectrum for VDE </w:t>
      </w:r>
      <w:proofErr w:type="gramStart"/>
      <w:r w:rsidRPr="004A7008">
        <w:t>25kHz</w:t>
      </w:r>
      <w:proofErr w:type="gramEnd"/>
      <w:r w:rsidRPr="004A7008">
        <w:t xml:space="preserve"> channel</w:t>
      </w:r>
    </w:p>
    <w:p w14:paraId="4E385230" w14:textId="77777777" w:rsidR="00612DEC" w:rsidRDefault="00612DEC" w:rsidP="00F27AAF">
      <w:pPr>
        <w:pStyle w:val="BodyText"/>
        <w:rPr>
          <w:rFonts w:ascii="Arial" w:hAnsi="Arial" w:cs="Arial"/>
          <w:color w:val="222222"/>
          <w:lang w:eastAsia="ko-KR"/>
        </w:rPr>
      </w:pPr>
    </w:p>
    <w:p w14:paraId="349C25EE" w14:textId="77777777" w:rsidR="00F855EA" w:rsidRDefault="00F27AAF" w:rsidP="00612DEC">
      <w:pPr>
        <w:pStyle w:val="BodyText"/>
      </w:pPr>
      <w:r w:rsidRPr="00612DEC">
        <w:t>T</w:t>
      </w:r>
      <w:r w:rsidRPr="00612DEC">
        <w:rPr>
          <w:rFonts w:hint="eastAsia"/>
        </w:rPr>
        <w:t>he waveform</w:t>
      </w:r>
      <w:r w:rsidR="008722AE" w:rsidRPr="00612DEC">
        <w:t xml:space="preserve"> (a), (b) and (c) </w:t>
      </w:r>
      <w:r w:rsidRPr="00612DEC">
        <w:rPr>
          <w:rFonts w:hint="eastAsia"/>
        </w:rPr>
        <w:t xml:space="preserve">in Fig.7 </w:t>
      </w:r>
      <w:r w:rsidR="008722AE" w:rsidRPr="00612DEC">
        <w:t>show the output spectra</w:t>
      </w:r>
      <w:r w:rsidRPr="00612DEC">
        <w:rPr>
          <w:rFonts w:hint="eastAsia"/>
        </w:rPr>
        <w:t xml:space="preserve">l </w:t>
      </w:r>
      <w:r w:rsidR="008722AE" w:rsidRPr="00612DEC">
        <w:t>when the transmission output amplifier back-off for the VDE 25kHz channel is composed of 7dB, 9dB, and 12dB, respectively.</w:t>
      </w:r>
    </w:p>
    <w:p w14:paraId="65AB4D56" w14:textId="13E4C14D" w:rsidR="00F855EA" w:rsidRDefault="00724F95" w:rsidP="00612DEC">
      <w:pPr>
        <w:pStyle w:val="BodyText"/>
      </w:pPr>
      <w:r>
        <w:t>As shown in Fig. 7, it can</w:t>
      </w:r>
      <w:r w:rsidR="008722AE" w:rsidRPr="00612DEC">
        <w:t>not satisfy the specification of -60dBc in the range of ± 25 kHz &lt;</w:t>
      </w:r>
      <w:proofErr w:type="spellStart"/>
      <w:proofErr w:type="gramStart"/>
      <w:r w:rsidR="008722AE" w:rsidRPr="00612DEC">
        <w:t>Δfc</w:t>
      </w:r>
      <w:proofErr w:type="spellEnd"/>
      <w:proofErr w:type="gramEnd"/>
      <w:r w:rsidR="008722AE" w:rsidRPr="00612DEC">
        <w:t xml:space="preserve"> &lt;± 75kHz due to the IMD component</w:t>
      </w:r>
      <w:r w:rsidR="00D541F6" w:rsidRPr="00612DEC">
        <w:rPr>
          <w:rFonts w:hint="eastAsia"/>
        </w:rPr>
        <w:t>s</w:t>
      </w:r>
      <w:r w:rsidR="008722AE" w:rsidRPr="00612DEC">
        <w:t xml:space="preserve"> from the center frequency.</w:t>
      </w:r>
    </w:p>
    <w:p w14:paraId="3DBC77F3" w14:textId="77C2D8FF" w:rsidR="008722AE" w:rsidRPr="00612DEC" w:rsidRDefault="008722AE" w:rsidP="00612DEC">
      <w:pPr>
        <w:pStyle w:val="BodyText"/>
      </w:pPr>
      <w:r w:rsidRPr="00612DEC">
        <w:t xml:space="preserve">VDE </w:t>
      </w:r>
      <w:proofErr w:type="gramStart"/>
      <w:r w:rsidRPr="00612DEC">
        <w:t>50kHz</w:t>
      </w:r>
      <w:proofErr w:type="gramEnd"/>
      <w:r w:rsidRPr="00612DEC">
        <w:t>, 100kHz also exhibits similar IMD output characteristics.</w:t>
      </w:r>
    </w:p>
    <w:p w14:paraId="150A1CDF" w14:textId="77777777" w:rsidR="00F27AAF" w:rsidRPr="00612DEC" w:rsidRDefault="00F27AAF" w:rsidP="00612DEC">
      <w:pPr>
        <w:pStyle w:val="BodyText"/>
      </w:pPr>
      <w:r w:rsidRPr="00612DEC">
        <w:t xml:space="preserve">One way to solve this problem is as follows. First, a narrow band pass filter is applied to the transmitter output stage. Second, a linearization technique is applied. In the first case, it is impossible to implement a filter satisfying both the rejection characteristic and the insertion loss satisfying the spectral mask with the filter of 25 kHz bandwidth in the VHF band. </w:t>
      </w:r>
    </w:p>
    <w:p w14:paraId="372BDC86" w14:textId="61B5ED8D" w:rsidR="00F27AAF" w:rsidRPr="00612DEC" w:rsidRDefault="00F27AAF" w:rsidP="00612DEC">
      <w:pPr>
        <w:pStyle w:val="BodyText"/>
      </w:pPr>
      <w:r w:rsidRPr="00612DEC">
        <w:t xml:space="preserve">The second case can be implemented by applying analogue pre-distortion (APD) and </w:t>
      </w:r>
      <w:r w:rsidR="00D541F6" w:rsidRPr="00612DEC">
        <w:rPr>
          <w:rFonts w:hint="eastAsia"/>
        </w:rPr>
        <w:t xml:space="preserve">or </w:t>
      </w:r>
      <w:r w:rsidRPr="00612DEC">
        <w:t>digital pre-distortion (DPD) techniques.</w:t>
      </w:r>
      <w:r w:rsidR="007D4595" w:rsidRPr="00612DEC">
        <w:rPr>
          <w:rFonts w:hint="eastAsia"/>
        </w:rPr>
        <w:t xml:space="preserve"> </w:t>
      </w:r>
      <w:r w:rsidR="002A23E8" w:rsidRPr="00612DEC">
        <w:t>The circuit implementation using the linearization technique</w:t>
      </w:r>
      <w:r w:rsidR="00707FEA" w:rsidRPr="00612DEC">
        <w:rPr>
          <w:rFonts w:hint="eastAsia"/>
        </w:rPr>
        <w:t>s</w:t>
      </w:r>
      <w:r w:rsidR="002A23E8" w:rsidRPr="00612DEC">
        <w:t xml:space="preserve"> in the amplifier </w:t>
      </w:r>
      <w:r w:rsidR="00707FEA" w:rsidRPr="00612DEC">
        <w:rPr>
          <w:rFonts w:hint="eastAsia"/>
        </w:rPr>
        <w:t>are</w:t>
      </w:r>
      <w:r w:rsidR="002A23E8" w:rsidRPr="00612DEC">
        <w:rPr>
          <w:rFonts w:hint="eastAsia"/>
        </w:rPr>
        <w:t xml:space="preserve"> somewhat complex and </w:t>
      </w:r>
      <w:r w:rsidR="00707FEA" w:rsidRPr="00612DEC">
        <w:rPr>
          <w:rFonts w:hint="eastAsia"/>
        </w:rPr>
        <w:t>have</w:t>
      </w:r>
      <w:r w:rsidR="002A23E8" w:rsidRPr="00612DEC">
        <w:rPr>
          <w:rFonts w:hint="eastAsia"/>
        </w:rPr>
        <w:t xml:space="preserve"> high level of difficulty, but these linearization techniques have been already used in communication application</w:t>
      </w:r>
      <w:r w:rsidR="00707FEA" w:rsidRPr="00612DEC">
        <w:rPr>
          <w:rFonts w:hint="eastAsia"/>
        </w:rPr>
        <w:t>s</w:t>
      </w:r>
      <w:r w:rsidR="002A23E8" w:rsidRPr="00612DEC">
        <w:rPr>
          <w:rFonts w:hint="eastAsia"/>
        </w:rPr>
        <w:t xml:space="preserve"> so </w:t>
      </w:r>
      <w:r w:rsidR="00707FEA" w:rsidRPr="00612DEC">
        <w:rPr>
          <w:rFonts w:hint="eastAsia"/>
        </w:rPr>
        <w:t>this method has high feasibility.</w:t>
      </w:r>
      <w:r w:rsidR="002A23E8" w:rsidRPr="00612DEC">
        <w:rPr>
          <w:rFonts w:hint="eastAsia"/>
        </w:rPr>
        <w:t xml:space="preserve"> </w:t>
      </w:r>
    </w:p>
    <w:p w14:paraId="6BF131CC" w14:textId="090B990A" w:rsidR="00C11926" w:rsidRPr="00612DEC" w:rsidRDefault="00C11926" w:rsidP="00612DEC">
      <w:pPr>
        <w:pStyle w:val="BodyText"/>
      </w:pPr>
      <w:r w:rsidRPr="00612DEC">
        <w:t>Therefore, the Spectrum Mask specification of VDE recommended in ITU-R 2092 should be proposed and discussed in the optimized design structure through analysis of channel interference</w:t>
      </w:r>
      <w:r w:rsidR="00F855EA">
        <w:t>.</w:t>
      </w:r>
    </w:p>
    <w:p w14:paraId="74AF8540" w14:textId="1E065116" w:rsidR="00CD1882" w:rsidRPr="001754C2" w:rsidRDefault="00CD1882" w:rsidP="00273AAB">
      <w:pPr>
        <w:pStyle w:val="BodyText"/>
        <w:rPr>
          <w:rFonts w:ascii="Arial" w:eastAsia="Malgun Gothic" w:hAnsi="Arial"/>
          <w:lang w:eastAsia="ko-KR"/>
        </w:rPr>
      </w:pPr>
    </w:p>
    <w:p w14:paraId="0CF99D9A" w14:textId="77777777" w:rsidR="00724F95" w:rsidRPr="007A395D" w:rsidRDefault="00724F95" w:rsidP="00724F95">
      <w:pPr>
        <w:pStyle w:val="Heading1"/>
        <w:numPr>
          <w:ilvl w:val="0"/>
          <w:numId w:val="14"/>
        </w:numPr>
        <w:jc w:val="both"/>
      </w:pPr>
      <w:r w:rsidRPr="007A395D">
        <w:t>Action requested of the Committee</w:t>
      </w:r>
    </w:p>
    <w:p w14:paraId="5F1FDFC8" w14:textId="08B288A3" w:rsidR="00724F95" w:rsidRPr="007F3553" w:rsidRDefault="00724F95" w:rsidP="00724F95">
      <w:pPr>
        <w:pStyle w:val="BodyText"/>
        <w:rPr>
          <w:lang w:eastAsia="ko-KR"/>
        </w:rPr>
      </w:pPr>
      <w:r w:rsidRPr="007A395D">
        <w:rPr>
          <w:lang w:eastAsia="ko-KR"/>
        </w:rPr>
        <w:t>The Committee is requested to</w:t>
      </w:r>
      <w:r w:rsidR="000B738F">
        <w:rPr>
          <w:lang w:eastAsia="ko-KR"/>
        </w:rPr>
        <w:t xml:space="preserve"> review</w:t>
      </w:r>
      <w:r>
        <w:rPr>
          <w:lang w:eastAsia="ko-KR"/>
        </w:rPr>
        <w:t xml:space="preserve"> the information and take appropriate action.</w:t>
      </w:r>
    </w:p>
    <w:p w14:paraId="0C97CEC1" w14:textId="77777777" w:rsidR="00CD1882" w:rsidRPr="00724F95" w:rsidRDefault="00CD1882" w:rsidP="007C1E71">
      <w:pPr>
        <w:pStyle w:val="BodyText"/>
        <w:rPr>
          <w:rFonts w:ascii="Arial" w:eastAsia="Malgun Gothic" w:hAnsi="Arial"/>
          <w:lang w:eastAsia="ko-KR"/>
        </w:rPr>
      </w:pPr>
    </w:p>
    <w:sectPr w:rsidR="00CD1882" w:rsidRPr="00724F95" w:rsidSect="00A66484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2B74D" w14:textId="77777777" w:rsidR="00B273CB" w:rsidRDefault="00B273CB" w:rsidP="00362CD9">
      <w:r>
        <w:separator/>
      </w:r>
    </w:p>
  </w:endnote>
  <w:endnote w:type="continuationSeparator" w:id="0">
    <w:p w14:paraId="1B53366F" w14:textId="77777777" w:rsidR="00B273CB" w:rsidRDefault="00B273C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22001DDE" w:rsidR="00353864" w:rsidRPr="00036B9E" w:rsidRDefault="00724F95">
    <w:pPr>
      <w:pStyle w:val="Footer"/>
      <w:rPr>
        <w:rFonts w:ascii="Calibri" w:hAnsi="Calibri"/>
      </w:rPr>
    </w:pPr>
    <w:r w:rsidRPr="00724F95">
      <w:rPr>
        <w:rFonts w:ascii="Calibri" w:hAnsi="Calibri"/>
        <w:sz w:val="20"/>
        <w:szCs w:val="20"/>
      </w:rPr>
      <w:t>VDE Spectrum Mask An</w:t>
    </w:r>
    <w:r>
      <w:rPr>
        <w:rFonts w:ascii="Calibri" w:hAnsi="Calibri"/>
        <w:sz w:val="20"/>
        <w:szCs w:val="20"/>
      </w:rPr>
      <w:t>a</w:t>
    </w:r>
    <w:r w:rsidRPr="00724F95">
      <w:rPr>
        <w:rFonts w:ascii="Calibri" w:hAnsi="Calibri"/>
        <w:sz w:val="20"/>
        <w:szCs w:val="20"/>
      </w:rPr>
      <w:t>lysis</w:t>
    </w:r>
    <w:r w:rsidR="00353864" w:rsidRPr="00036B9E">
      <w:rPr>
        <w:rFonts w:ascii="Calibri" w:hAnsi="Calibri"/>
      </w:rPr>
      <w:tab/>
    </w:r>
    <w:r w:rsidR="00353864" w:rsidRPr="00036B9E">
      <w:rPr>
        <w:rFonts w:ascii="Calibri" w:hAnsi="Calibri"/>
      </w:rPr>
      <w:fldChar w:fldCharType="begin"/>
    </w:r>
    <w:r w:rsidR="00353864" w:rsidRPr="00036B9E">
      <w:rPr>
        <w:rFonts w:ascii="Calibri" w:hAnsi="Calibri"/>
      </w:rPr>
      <w:instrText xml:space="preserve"> PAGE   \* MERGEFORMAT </w:instrText>
    </w:r>
    <w:r w:rsidR="00353864" w:rsidRPr="00036B9E">
      <w:rPr>
        <w:rFonts w:ascii="Calibri" w:hAnsi="Calibri"/>
      </w:rPr>
      <w:fldChar w:fldCharType="separate"/>
    </w:r>
    <w:r w:rsidR="008231A7">
      <w:rPr>
        <w:rFonts w:ascii="Calibri" w:hAnsi="Calibri"/>
        <w:noProof/>
      </w:rPr>
      <w:t>6</w:t>
    </w:r>
    <w:r w:rsidR="00353864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263CE" w14:textId="77777777" w:rsidR="00B273CB" w:rsidRDefault="00B273CB" w:rsidP="00362CD9">
      <w:r>
        <w:separator/>
      </w:r>
    </w:p>
  </w:footnote>
  <w:footnote w:type="continuationSeparator" w:id="0">
    <w:p w14:paraId="7DB302F6" w14:textId="77777777" w:rsidR="00B273CB" w:rsidRDefault="00B273CB" w:rsidP="00362CD9">
      <w:r>
        <w:continuationSeparator/>
      </w:r>
    </w:p>
  </w:footnote>
  <w:footnote w:id="1">
    <w:p w14:paraId="6463BDD2" w14:textId="27E77957" w:rsidR="00353864" w:rsidRPr="00EA5A97" w:rsidRDefault="00353864" w:rsidP="007F3553">
      <w:pPr>
        <w:pStyle w:val="FootnoteText"/>
        <w:rPr>
          <w:lang w:val="en-US" w:eastAsia="ko-KR"/>
        </w:rPr>
      </w:pPr>
    </w:p>
  </w:footnote>
  <w:footnote w:id="2">
    <w:p w14:paraId="61760DEF" w14:textId="35043BDF" w:rsidR="00353864" w:rsidRPr="00037DF4" w:rsidRDefault="00353864" w:rsidP="007F3553">
      <w:pPr>
        <w:pStyle w:val="FootnoteText"/>
        <w:rPr>
          <w:lang w:eastAsia="ko-K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353864" w:rsidRDefault="00B273C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353864" w:rsidRDefault="00353864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73C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353864" w:rsidRDefault="0035386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353864" w:rsidRDefault="00353864" w:rsidP="007A395D">
    <w:pPr>
      <w:pStyle w:val="Header"/>
      <w:jc w:val="center"/>
    </w:pPr>
  </w:p>
  <w:p w14:paraId="43F3C4F1" w14:textId="7155479D" w:rsidR="00353864" w:rsidRDefault="00B273C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15D74"/>
    <w:multiLevelType w:val="hybridMultilevel"/>
    <w:tmpl w:val="4CB64980"/>
    <w:lvl w:ilvl="0" w:tplc="C1320C5A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84513"/>
    <w:multiLevelType w:val="hybridMultilevel"/>
    <w:tmpl w:val="060085FE"/>
    <w:lvl w:ilvl="0" w:tplc="8B6893D0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8F1568C"/>
    <w:multiLevelType w:val="hybridMultilevel"/>
    <w:tmpl w:val="E6B08452"/>
    <w:lvl w:ilvl="0" w:tplc="3E54A7F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F1D12"/>
    <w:multiLevelType w:val="hybridMultilevel"/>
    <w:tmpl w:val="875C4464"/>
    <w:lvl w:ilvl="0" w:tplc="C944B62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5"/>
  </w:num>
  <w:num w:numId="5">
    <w:abstractNumId w:val="16"/>
  </w:num>
  <w:num w:numId="6">
    <w:abstractNumId w:val="4"/>
  </w:num>
  <w:num w:numId="7">
    <w:abstractNumId w:val="27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6"/>
  </w:num>
  <w:num w:numId="14">
    <w:abstractNumId w:val="5"/>
  </w:num>
  <w:num w:numId="15">
    <w:abstractNumId w:val="28"/>
  </w:num>
  <w:num w:numId="16">
    <w:abstractNumId w:val="14"/>
  </w:num>
  <w:num w:numId="17">
    <w:abstractNumId w:val="6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4"/>
  </w:num>
  <w:num w:numId="46">
    <w:abstractNumId w:val="23"/>
  </w:num>
  <w:num w:numId="47">
    <w:abstractNumId w:val="20"/>
  </w:num>
  <w:num w:numId="4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4BBE"/>
    <w:rsid w:val="00064E42"/>
    <w:rsid w:val="00070C13"/>
    <w:rsid w:val="000715C9"/>
    <w:rsid w:val="00084F33"/>
    <w:rsid w:val="000932B2"/>
    <w:rsid w:val="000A16A3"/>
    <w:rsid w:val="000A2D5F"/>
    <w:rsid w:val="000A4BE8"/>
    <w:rsid w:val="000A77A7"/>
    <w:rsid w:val="000B1707"/>
    <w:rsid w:val="000B738F"/>
    <w:rsid w:val="000C1B3E"/>
    <w:rsid w:val="000C57D4"/>
    <w:rsid w:val="000E4BBC"/>
    <w:rsid w:val="00110AE7"/>
    <w:rsid w:val="00121F3A"/>
    <w:rsid w:val="001273B1"/>
    <w:rsid w:val="0015294E"/>
    <w:rsid w:val="00152A01"/>
    <w:rsid w:val="00155C9F"/>
    <w:rsid w:val="001641C7"/>
    <w:rsid w:val="001754C2"/>
    <w:rsid w:val="00177F4D"/>
    <w:rsid w:val="00180DDA"/>
    <w:rsid w:val="00185E88"/>
    <w:rsid w:val="001B12A9"/>
    <w:rsid w:val="001B2A2D"/>
    <w:rsid w:val="001B737D"/>
    <w:rsid w:val="001C44A3"/>
    <w:rsid w:val="001C580C"/>
    <w:rsid w:val="001E0E15"/>
    <w:rsid w:val="001F528A"/>
    <w:rsid w:val="001F704E"/>
    <w:rsid w:val="00201722"/>
    <w:rsid w:val="00207B99"/>
    <w:rsid w:val="002125B0"/>
    <w:rsid w:val="00220031"/>
    <w:rsid w:val="0023301A"/>
    <w:rsid w:val="00243228"/>
    <w:rsid w:val="00251483"/>
    <w:rsid w:val="002533BD"/>
    <w:rsid w:val="00255CAA"/>
    <w:rsid w:val="00264305"/>
    <w:rsid w:val="002671D2"/>
    <w:rsid w:val="00273AAB"/>
    <w:rsid w:val="0028191A"/>
    <w:rsid w:val="002A0346"/>
    <w:rsid w:val="002A23E8"/>
    <w:rsid w:val="002A4487"/>
    <w:rsid w:val="002B249B"/>
    <w:rsid w:val="002B49E9"/>
    <w:rsid w:val="002C5F02"/>
    <w:rsid w:val="002C632E"/>
    <w:rsid w:val="002D3E8B"/>
    <w:rsid w:val="002D4575"/>
    <w:rsid w:val="002D5C0C"/>
    <w:rsid w:val="002E03D1"/>
    <w:rsid w:val="002E6B74"/>
    <w:rsid w:val="002E6FCA"/>
    <w:rsid w:val="00311222"/>
    <w:rsid w:val="00316551"/>
    <w:rsid w:val="00331F19"/>
    <w:rsid w:val="003344EE"/>
    <w:rsid w:val="00335F94"/>
    <w:rsid w:val="0034368A"/>
    <w:rsid w:val="00353864"/>
    <w:rsid w:val="00356CD0"/>
    <w:rsid w:val="00362CD9"/>
    <w:rsid w:val="003761CA"/>
    <w:rsid w:val="00380334"/>
    <w:rsid w:val="00380DAF"/>
    <w:rsid w:val="003972CE"/>
    <w:rsid w:val="003B28F5"/>
    <w:rsid w:val="003B7B7D"/>
    <w:rsid w:val="003C54CB"/>
    <w:rsid w:val="003C7A2A"/>
    <w:rsid w:val="003D14A4"/>
    <w:rsid w:val="003D17A1"/>
    <w:rsid w:val="003D2DC1"/>
    <w:rsid w:val="003D69D0"/>
    <w:rsid w:val="003F2918"/>
    <w:rsid w:val="003F430E"/>
    <w:rsid w:val="0041088C"/>
    <w:rsid w:val="00414318"/>
    <w:rsid w:val="00420A38"/>
    <w:rsid w:val="00431B19"/>
    <w:rsid w:val="00435261"/>
    <w:rsid w:val="00443298"/>
    <w:rsid w:val="004523C3"/>
    <w:rsid w:val="00462EDC"/>
    <w:rsid w:val="004661AD"/>
    <w:rsid w:val="00494914"/>
    <w:rsid w:val="004A731C"/>
    <w:rsid w:val="004D1D85"/>
    <w:rsid w:val="004D3C3A"/>
    <w:rsid w:val="004E1CD1"/>
    <w:rsid w:val="004E4CDD"/>
    <w:rsid w:val="004E7598"/>
    <w:rsid w:val="0051063C"/>
    <w:rsid w:val="005107EB"/>
    <w:rsid w:val="00521345"/>
    <w:rsid w:val="00526DF0"/>
    <w:rsid w:val="0053100E"/>
    <w:rsid w:val="00532C68"/>
    <w:rsid w:val="00545CC4"/>
    <w:rsid w:val="00551FFF"/>
    <w:rsid w:val="005607A2"/>
    <w:rsid w:val="0057198B"/>
    <w:rsid w:val="00572174"/>
    <w:rsid w:val="00573CFE"/>
    <w:rsid w:val="005969F2"/>
    <w:rsid w:val="00597FAE"/>
    <w:rsid w:val="005A3B6C"/>
    <w:rsid w:val="005B32A3"/>
    <w:rsid w:val="005C0D44"/>
    <w:rsid w:val="005C566C"/>
    <w:rsid w:val="005C7E69"/>
    <w:rsid w:val="005D2FC8"/>
    <w:rsid w:val="005D3870"/>
    <w:rsid w:val="005E262D"/>
    <w:rsid w:val="005E43F1"/>
    <w:rsid w:val="005F23D3"/>
    <w:rsid w:val="005F5C53"/>
    <w:rsid w:val="005F67E7"/>
    <w:rsid w:val="005F7E20"/>
    <w:rsid w:val="0060241E"/>
    <w:rsid w:val="00605E43"/>
    <w:rsid w:val="00612DEC"/>
    <w:rsid w:val="006153BB"/>
    <w:rsid w:val="00660826"/>
    <w:rsid w:val="006652C3"/>
    <w:rsid w:val="0067586A"/>
    <w:rsid w:val="0067764D"/>
    <w:rsid w:val="00687594"/>
    <w:rsid w:val="00691FD0"/>
    <w:rsid w:val="00692148"/>
    <w:rsid w:val="006A1A1E"/>
    <w:rsid w:val="006A7E45"/>
    <w:rsid w:val="006C3402"/>
    <w:rsid w:val="006C5948"/>
    <w:rsid w:val="006F290D"/>
    <w:rsid w:val="006F2A74"/>
    <w:rsid w:val="006F4F07"/>
    <w:rsid w:val="00707FEA"/>
    <w:rsid w:val="0071189E"/>
    <w:rsid w:val="007118F5"/>
    <w:rsid w:val="00712AA4"/>
    <w:rsid w:val="007146C4"/>
    <w:rsid w:val="00721AA1"/>
    <w:rsid w:val="0072212F"/>
    <w:rsid w:val="00724B67"/>
    <w:rsid w:val="00724F95"/>
    <w:rsid w:val="007547F8"/>
    <w:rsid w:val="00765622"/>
    <w:rsid w:val="00770B6C"/>
    <w:rsid w:val="007802B8"/>
    <w:rsid w:val="00783D95"/>
    <w:rsid w:val="00783FEA"/>
    <w:rsid w:val="007971FA"/>
    <w:rsid w:val="007A2841"/>
    <w:rsid w:val="007A395D"/>
    <w:rsid w:val="007C1E71"/>
    <w:rsid w:val="007C346C"/>
    <w:rsid w:val="007D4595"/>
    <w:rsid w:val="007D76DE"/>
    <w:rsid w:val="007F3553"/>
    <w:rsid w:val="0080294B"/>
    <w:rsid w:val="00810562"/>
    <w:rsid w:val="008231A7"/>
    <w:rsid w:val="0082480E"/>
    <w:rsid w:val="00850293"/>
    <w:rsid w:val="00851373"/>
    <w:rsid w:val="00851BA6"/>
    <w:rsid w:val="0085654D"/>
    <w:rsid w:val="00861160"/>
    <w:rsid w:val="0086654F"/>
    <w:rsid w:val="00870B82"/>
    <w:rsid w:val="008722AE"/>
    <w:rsid w:val="00874A27"/>
    <w:rsid w:val="008A356F"/>
    <w:rsid w:val="008A4653"/>
    <w:rsid w:val="008A4717"/>
    <w:rsid w:val="008A50CC"/>
    <w:rsid w:val="008B71A4"/>
    <w:rsid w:val="008D1694"/>
    <w:rsid w:val="008D79CB"/>
    <w:rsid w:val="008F07BC"/>
    <w:rsid w:val="00907D7C"/>
    <w:rsid w:val="0092692B"/>
    <w:rsid w:val="00943E9C"/>
    <w:rsid w:val="00953F4D"/>
    <w:rsid w:val="00960BB8"/>
    <w:rsid w:val="00964F5C"/>
    <w:rsid w:val="009831C0"/>
    <w:rsid w:val="00990D74"/>
    <w:rsid w:val="0099161D"/>
    <w:rsid w:val="009B2581"/>
    <w:rsid w:val="009F255C"/>
    <w:rsid w:val="00A0389B"/>
    <w:rsid w:val="00A25335"/>
    <w:rsid w:val="00A263F7"/>
    <w:rsid w:val="00A33AE9"/>
    <w:rsid w:val="00A446C9"/>
    <w:rsid w:val="00A52131"/>
    <w:rsid w:val="00A609BF"/>
    <w:rsid w:val="00A635D6"/>
    <w:rsid w:val="00A66484"/>
    <w:rsid w:val="00A702A7"/>
    <w:rsid w:val="00A8553A"/>
    <w:rsid w:val="00A93AED"/>
    <w:rsid w:val="00AA7845"/>
    <w:rsid w:val="00AB017E"/>
    <w:rsid w:val="00AB2325"/>
    <w:rsid w:val="00AE1319"/>
    <w:rsid w:val="00AE34BB"/>
    <w:rsid w:val="00AE608D"/>
    <w:rsid w:val="00B00C0A"/>
    <w:rsid w:val="00B04BDD"/>
    <w:rsid w:val="00B226F2"/>
    <w:rsid w:val="00B273CB"/>
    <w:rsid w:val="00B274DF"/>
    <w:rsid w:val="00B27B04"/>
    <w:rsid w:val="00B36DAC"/>
    <w:rsid w:val="00B56BDF"/>
    <w:rsid w:val="00B65812"/>
    <w:rsid w:val="00B85CD6"/>
    <w:rsid w:val="00B90A27"/>
    <w:rsid w:val="00B91392"/>
    <w:rsid w:val="00B9554D"/>
    <w:rsid w:val="00BA4BD6"/>
    <w:rsid w:val="00BB2B9F"/>
    <w:rsid w:val="00BB7D9E"/>
    <w:rsid w:val="00BC2334"/>
    <w:rsid w:val="00BC4B17"/>
    <w:rsid w:val="00BD3CB8"/>
    <w:rsid w:val="00BD4E6F"/>
    <w:rsid w:val="00BF32F0"/>
    <w:rsid w:val="00BF4DCE"/>
    <w:rsid w:val="00BF52BD"/>
    <w:rsid w:val="00C05CE5"/>
    <w:rsid w:val="00C11926"/>
    <w:rsid w:val="00C222E9"/>
    <w:rsid w:val="00C31B53"/>
    <w:rsid w:val="00C32ECA"/>
    <w:rsid w:val="00C4038D"/>
    <w:rsid w:val="00C6171E"/>
    <w:rsid w:val="00C67B95"/>
    <w:rsid w:val="00C816E8"/>
    <w:rsid w:val="00C85DAC"/>
    <w:rsid w:val="00CA6F2C"/>
    <w:rsid w:val="00CD1882"/>
    <w:rsid w:val="00CF1871"/>
    <w:rsid w:val="00D019CE"/>
    <w:rsid w:val="00D1133E"/>
    <w:rsid w:val="00D17A34"/>
    <w:rsid w:val="00D22BEC"/>
    <w:rsid w:val="00D26628"/>
    <w:rsid w:val="00D27ABE"/>
    <w:rsid w:val="00D332B3"/>
    <w:rsid w:val="00D541F6"/>
    <w:rsid w:val="00D55207"/>
    <w:rsid w:val="00D81801"/>
    <w:rsid w:val="00D853D8"/>
    <w:rsid w:val="00D9182B"/>
    <w:rsid w:val="00D92B45"/>
    <w:rsid w:val="00D95962"/>
    <w:rsid w:val="00DA45B2"/>
    <w:rsid w:val="00DB277D"/>
    <w:rsid w:val="00DB3B2C"/>
    <w:rsid w:val="00DC389B"/>
    <w:rsid w:val="00DE2FEE"/>
    <w:rsid w:val="00E00BE9"/>
    <w:rsid w:val="00E14A2C"/>
    <w:rsid w:val="00E22A11"/>
    <w:rsid w:val="00E31E5C"/>
    <w:rsid w:val="00E371E8"/>
    <w:rsid w:val="00E42810"/>
    <w:rsid w:val="00E44DD2"/>
    <w:rsid w:val="00E53F3F"/>
    <w:rsid w:val="00E558C3"/>
    <w:rsid w:val="00E55927"/>
    <w:rsid w:val="00E912A6"/>
    <w:rsid w:val="00EA3E00"/>
    <w:rsid w:val="00EA4844"/>
    <w:rsid w:val="00EA4D9C"/>
    <w:rsid w:val="00EA5A97"/>
    <w:rsid w:val="00EB372D"/>
    <w:rsid w:val="00EB75EE"/>
    <w:rsid w:val="00EC1DCC"/>
    <w:rsid w:val="00EE4C1D"/>
    <w:rsid w:val="00EF3685"/>
    <w:rsid w:val="00F01C02"/>
    <w:rsid w:val="00F04350"/>
    <w:rsid w:val="00F133DB"/>
    <w:rsid w:val="00F159EB"/>
    <w:rsid w:val="00F25BF4"/>
    <w:rsid w:val="00F267DB"/>
    <w:rsid w:val="00F27AAF"/>
    <w:rsid w:val="00F46F6F"/>
    <w:rsid w:val="00F60608"/>
    <w:rsid w:val="00F62217"/>
    <w:rsid w:val="00F64685"/>
    <w:rsid w:val="00F73083"/>
    <w:rsid w:val="00F7421E"/>
    <w:rsid w:val="00F855EA"/>
    <w:rsid w:val="00FB17A9"/>
    <w:rsid w:val="00FB527C"/>
    <w:rsid w:val="00FB6F75"/>
    <w:rsid w:val="00FC0EB3"/>
    <w:rsid w:val="00FD675E"/>
    <w:rsid w:val="00FE5674"/>
    <w:rsid w:val="00FF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0DE67CB4-CAC7-4ECA-8108-06A2B7DE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22BEC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D22BEC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990D74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hAnsi="Calibr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990D74"/>
    <w:pPr>
      <w:numPr>
        <w:numId w:val="22"/>
      </w:numPr>
      <w:spacing w:after="120"/>
      <w:jc w:val="both"/>
    </w:pPr>
    <w:rPr>
      <w:rFonts w:ascii="Calibri" w:eastAsia="MS Mincho" w:hAnsi="Calibr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443298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443298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7C1E71"/>
    <w:pPr>
      <w:numPr>
        <w:numId w:val="17"/>
      </w:numPr>
      <w:spacing w:after="120"/>
    </w:pPr>
    <w:rPr>
      <w:rFonts w:ascii="Calibri" w:hAnsi="Calibr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Body">
    <w:name w:val="Body"/>
    <w:rsid w:val="007F3553"/>
    <w:pPr>
      <w:spacing w:after="200" w:line="276" w:lineRule="auto"/>
      <w:jc w:val="both"/>
    </w:pPr>
    <w:rPr>
      <w:rFonts w:ascii="Helvetica" w:eastAsia="Arial Unicode MS" w:hAnsi="Arial Unicode MS" w:cs="Arial Unicode MS"/>
      <w:color w:val="08374B"/>
      <w:sz w:val="24"/>
      <w:szCs w:val="24"/>
      <w:u w:color="08374B"/>
      <w:lang w:val="en-US" w:eastAsia="en-US"/>
    </w:rPr>
  </w:style>
  <w:style w:type="paragraph" w:customStyle="1" w:styleId="Mybold">
    <w:name w:val="My bold"/>
    <w:basedOn w:val="Normal"/>
    <w:link w:val="MyboldTegn"/>
    <w:autoRedefine/>
    <w:qFormat/>
    <w:rsid w:val="00990D74"/>
    <w:pPr>
      <w:spacing w:after="120"/>
      <w:jc w:val="center"/>
    </w:pPr>
    <w:rPr>
      <w:rFonts w:asciiTheme="minorHAnsi" w:hAnsiTheme="minorHAnsi"/>
      <w:b/>
    </w:rPr>
  </w:style>
  <w:style w:type="character" w:customStyle="1" w:styleId="MyboldTegn">
    <w:name w:val="My bold Tegn"/>
    <w:basedOn w:val="DefaultParagraphFont"/>
    <w:link w:val="Mybold"/>
    <w:rsid w:val="00990D74"/>
    <w:rPr>
      <w:rFonts w:asciiTheme="minorHAnsi" w:hAnsiTheme="minorHAnsi" w:cs="Calibri"/>
      <w:b/>
      <w:sz w:val="22"/>
      <w:szCs w:val="22"/>
    </w:rPr>
  </w:style>
  <w:style w:type="character" w:customStyle="1" w:styleId="TableheadChar">
    <w:name w:val="Table_head Char"/>
    <w:basedOn w:val="DefaultParagraphFont"/>
    <w:link w:val="Tablehead"/>
    <w:uiPriority w:val="99"/>
    <w:locked/>
    <w:rsid w:val="00907D7C"/>
    <w:rPr>
      <w:b/>
      <w:sz w:val="22"/>
      <w:lang w:val="fr-FR" w:eastAsia="en-US"/>
    </w:rPr>
  </w:style>
  <w:style w:type="paragraph" w:customStyle="1" w:styleId="Tablehead">
    <w:name w:val="Table_head"/>
    <w:basedOn w:val="Normal"/>
    <w:next w:val="Normal"/>
    <w:link w:val="TableheadChar"/>
    <w:uiPriority w:val="99"/>
    <w:rsid w:val="00907D7C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</w:pPr>
    <w:rPr>
      <w:rFonts w:ascii="Calibri" w:hAnsi="Calibri" w:cs="Times New Roman"/>
      <w:b/>
      <w:szCs w:val="20"/>
      <w:lang w:val="fr-FR" w:eastAsia="en-US"/>
    </w:rPr>
  </w:style>
  <w:style w:type="character" w:customStyle="1" w:styleId="TabletextChar">
    <w:name w:val="Table_text Char"/>
    <w:basedOn w:val="DefaultParagraphFont"/>
    <w:link w:val="Tabletext"/>
    <w:uiPriority w:val="99"/>
    <w:locked/>
    <w:rsid w:val="00907D7C"/>
    <w:rPr>
      <w:sz w:val="22"/>
      <w:lang w:val="fr-FR" w:eastAsia="en-US"/>
    </w:rPr>
  </w:style>
  <w:style w:type="paragraph" w:customStyle="1" w:styleId="Tabletext">
    <w:name w:val="Table_text"/>
    <w:basedOn w:val="Normal"/>
    <w:link w:val="TabletextChar"/>
    <w:uiPriority w:val="99"/>
    <w:rsid w:val="00907D7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</w:pPr>
    <w:rPr>
      <w:rFonts w:ascii="Calibri" w:hAnsi="Calibri" w:cs="Times New Roman"/>
      <w:szCs w:val="20"/>
      <w:lang w:val="fr-FR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4352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2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6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07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3215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154303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55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252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2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6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59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59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82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9946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2447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890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5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0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01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6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58508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0035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4517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575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72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5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6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87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8352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0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8549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8555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238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76182">
          <w:marLeft w:val="0"/>
          <w:marRight w:val="0"/>
          <w:marTop w:val="0"/>
          <w:marBottom w:val="0"/>
          <w:divBdr>
            <w:top w:val="single" w:sz="48" w:space="0" w:color="DEDEDE"/>
            <w:left w:val="single" w:sz="48" w:space="0" w:color="DEDEDE"/>
            <w:bottom w:val="single" w:sz="48" w:space="0" w:color="DEDEDE"/>
            <w:right w:val="single" w:sz="48" w:space="0" w:color="DEDEDE"/>
          </w:divBdr>
          <w:divsChild>
            <w:div w:id="381294996">
              <w:marLeft w:val="0"/>
              <w:marRight w:val="0"/>
              <w:marTop w:val="0"/>
              <w:marBottom w:val="0"/>
              <w:divBdr>
                <w:top w:val="single" w:sz="8" w:space="0" w:color="BABABA"/>
                <w:left w:val="single" w:sz="8" w:space="0" w:color="BABABA"/>
                <w:bottom w:val="single" w:sz="8" w:space="0" w:color="BABABA"/>
                <w:right w:val="single" w:sz="8" w:space="0" w:color="BABABA"/>
              </w:divBdr>
              <w:divsChild>
                <w:div w:id="9276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604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0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49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0375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8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7271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35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060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3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33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6404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26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8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20328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08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68B2-6296-4A6B-AF56-8E128013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1251</Words>
  <Characters>7134</Characters>
  <Application>Microsoft Office Word</Application>
  <DocSecurity>0</DocSecurity>
  <Lines>59</Lines>
  <Paragraphs>16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2017-09-01T01:36:00Z</dcterms:created>
  <dcterms:modified xsi:type="dcterms:W3CDTF">2017-09-01T10:21:00Z</dcterms:modified>
</cp:coreProperties>
</file>